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3FEB" w14:textId="77777777" w:rsidR="00D810F4" w:rsidRPr="0017158B" w:rsidRDefault="00D810F4">
      <w:pPr>
        <w:spacing w:before="3600"/>
        <w:rPr>
          <w:rFonts w:hint="eastAsia"/>
        </w:rPr>
      </w:pPr>
    </w:p>
    <w:p w14:paraId="70A71780" w14:textId="77777777" w:rsidR="00D810F4" w:rsidRPr="0017158B" w:rsidRDefault="00000000">
      <w:pPr>
        <w:spacing w:after="200"/>
        <w:jc w:val="center"/>
        <w:rPr>
          <w:b/>
          <w:bCs/>
          <w:sz w:val="48"/>
          <w:szCs w:val="48"/>
        </w:rPr>
      </w:pPr>
      <w:r w:rsidRPr="0017158B">
        <w:rPr>
          <w:b/>
          <w:bCs/>
          <w:color w:val="2E5E8C"/>
          <w:sz w:val="48"/>
          <w:szCs w:val="48"/>
        </w:rPr>
        <w:t>國立中興大學</w:t>
      </w:r>
    </w:p>
    <w:p w14:paraId="553D7087" w14:textId="77777777" w:rsidR="00D810F4" w:rsidRPr="0017158B" w:rsidRDefault="00000000">
      <w:pPr>
        <w:spacing w:after="120"/>
        <w:jc w:val="center"/>
        <w:rPr>
          <w:b/>
          <w:bCs/>
        </w:rPr>
      </w:pPr>
      <w:r w:rsidRPr="0017158B">
        <w:rPr>
          <w:b/>
          <w:bCs/>
          <w:color w:val="2E5E8C"/>
          <w:sz w:val="48"/>
          <w:szCs w:val="48"/>
        </w:rPr>
        <w:t>大學社會責任實踐計畫（USR）</w:t>
      </w:r>
    </w:p>
    <w:p w14:paraId="3112BB98" w14:textId="1721D3C0" w:rsidR="00D810F4" w:rsidRPr="0017158B" w:rsidRDefault="00000000">
      <w:pPr>
        <w:spacing w:after="600"/>
        <w:jc w:val="center"/>
        <w:rPr>
          <w:rFonts w:hint="eastAsia"/>
          <w:b/>
          <w:bCs/>
        </w:rPr>
      </w:pPr>
      <w:proofErr w:type="gramStart"/>
      <w:r w:rsidRPr="0017158B">
        <w:rPr>
          <w:b/>
          <w:bCs/>
          <w:color w:val="333333"/>
          <w:sz w:val="40"/>
          <w:szCs w:val="40"/>
        </w:rPr>
        <w:t>115</w:t>
      </w:r>
      <w:proofErr w:type="gramEnd"/>
      <w:r w:rsidRPr="0017158B">
        <w:rPr>
          <w:b/>
          <w:bCs/>
          <w:color w:val="333333"/>
          <w:sz w:val="40"/>
          <w:szCs w:val="40"/>
        </w:rPr>
        <w:t>年度</w:t>
      </w:r>
      <w:r w:rsidR="00D85076">
        <w:rPr>
          <w:rFonts w:hint="eastAsia"/>
          <w:b/>
          <w:bCs/>
          <w:color w:val="333333"/>
          <w:sz w:val="40"/>
          <w:szCs w:val="40"/>
        </w:rPr>
        <w:t>種子型、H</w:t>
      </w:r>
      <w:r w:rsidR="00D85076">
        <w:rPr>
          <w:b/>
          <w:bCs/>
          <w:color w:val="333333"/>
          <w:sz w:val="40"/>
          <w:szCs w:val="40"/>
        </w:rPr>
        <w:t>u</w:t>
      </w:r>
      <w:r w:rsidR="00D85076">
        <w:rPr>
          <w:rFonts w:hint="eastAsia"/>
          <w:b/>
          <w:bCs/>
          <w:color w:val="333333"/>
          <w:sz w:val="40"/>
          <w:szCs w:val="40"/>
        </w:rPr>
        <w:t>b型</w:t>
      </w:r>
      <w:r w:rsidR="00283950">
        <w:rPr>
          <w:rFonts w:hint="eastAsia"/>
          <w:b/>
          <w:bCs/>
          <w:color w:val="333333"/>
          <w:sz w:val="40"/>
          <w:szCs w:val="40"/>
        </w:rPr>
        <w:t>計畫</w:t>
      </w:r>
      <w:r w:rsidRPr="0017158B">
        <w:rPr>
          <w:b/>
          <w:bCs/>
          <w:color w:val="333333"/>
          <w:sz w:val="40"/>
          <w:szCs w:val="40"/>
        </w:rPr>
        <w:t>校內徵件說明</w:t>
      </w:r>
    </w:p>
    <w:p w14:paraId="36B373D0" w14:textId="77777777" w:rsidR="00D810F4" w:rsidRDefault="00D810F4">
      <w:pPr>
        <w:spacing w:after="200"/>
      </w:pPr>
    </w:p>
    <w:p w14:paraId="1D6EB1E1" w14:textId="77777777" w:rsidR="00D810F4" w:rsidRDefault="00000000">
      <w:pPr>
        <w:pBdr>
          <w:top w:val="single" w:sz="2" w:space="8" w:color="2E5E8C"/>
          <w:bottom w:val="single" w:sz="2" w:space="8" w:color="2E5E8C"/>
        </w:pBdr>
        <w:spacing w:after="120"/>
        <w:jc w:val="center"/>
      </w:pPr>
      <w:r>
        <w:rPr>
          <w:b/>
          <w:bCs/>
          <w:color w:val="C0392B"/>
          <w:sz w:val="28"/>
          <w:szCs w:val="28"/>
        </w:rPr>
        <w:t>申請書收件截止日：115年4月30日</w:t>
      </w:r>
    </w:p>
    <w:p w14:paraId="3AAACADF" w14:textId="77777777" w:rsidR="00D810F4" w:rsidRPr="0017158B" w:rsidRDefault="00D810F4">
      <w:pPr>
        <w:spacing w:before="1200"/>
        <w:rPr>
          <w:sz w:val="28"/>
          <w:szCs w:val="28"/>
        </w:rPr>
      </w:pPr>
    </w:p>
    <w:p w14:paraId="4535A773" w14:textId="77777777" w:rsidR="00D810F4" w:rsidRPr="0017158B" w:rsidRDefault="00000000">
      <w:pPr>
        <w:jc w:val="center"/>
        <w:rPr>
          <w:sz w:val="28"/>
          <w:szCs w:val="28"/>
        </w:rPr>
      </w:pPr>
      <w:r w:rsidRPr="0017158B">
        <w:rPr>
          <w:color w:val="333333"/>
          <w:sz w:val="28"/>
          <w:szCs w:val="28"/>
        </w:rPr>
        <w:t>編製單位：USR辦公室</w:t>
      </w:r>
    </w:p>
    <w:p w14:paraId="3665C9D5" w14:textId="77777777" w:rsidR="00D810F4" w:rsidRPr="0017158B" w:rsidRDefault="00000000">
      <w:pPr>
        <w:jc w:val="center"/>
        <w:rPr>
          <w:sz w:val="28"/>
          <w:szCs w:val="28"/>
        </w:rPr>
      </w:pPr>
      <w:r w:rsidRPr="0017158B">
        <w:rPr>
          <w:color w:val="333333"/>
          <w:sz w:val="28"/>
          <w:szCs w:val="28"/>
        </w:rPr>
        <w:t>日期：115年3月27日</w:t>
      </w:r>
    </w:p>
    <w:p w14:paraId="79FCCF29" w14:textId="77777777" w:rsidR="00D810F4" w:rsidRDefault="00D810F4">
      <w:pPr>
        <w:sectPr w:rsidR="00D810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72A44F7A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lastRenderedPageBreak/>
        <w:t>壹、計畫背景與目標</w:t>
      </w:r>
    </w:p>
    <w:p w14:paraId="2489F7A1" w14:textId="77777777" w:rsidR="00D810F4" w:rsidRDefault="00000000">
      <w:pPr>
        <w:spacing w:after="160" w:line="360" w:lineRule="auto"/>
      </w:pPr>
      <w:r>
        <w:rPr>
          <w:b/>
          <w:bCs/>
          <w:color w:val="333333"/>
        </w:rPr>
        <w:t>大學社會責任實踐計畫（University Social Responsibility，簡稱USR）</w:t>
      </w:r>
      <w:r>
        <w:rPr>
          <w:color w:val="333333"/>
        </w:rPr>
        <w:t>旨在強化大學與在地社會之連結，鼓勵大學師生運用專業知能投入社會實踐，以促進區域永續發展。此一理念源於國際趨勢</w:t>
      </w:r>
      <w:proofErr w:type="gramStart"/>
      <w:r>
        <w:rPr>
          <w:color w:val="333333"/>
        </w:rPr>
        <w:t>——</w:t>
      </w:r>
      <w:proofErr w:type="gramEnd"/>
      <w:r>
        <w:rPr>
          <w:color w:val="333333"/>
        </w:rPr>
        <w:t>美國、加拿大自2010年起即推動大學永續發展，歐盟於2012至2014年間亦建立USR框架。教育部自107年起試辦USR計畫，迄今已進入第四期（114-116年），持續深化大學之社會影響力。</w:t>
      </w:r>
    </w:p>
    <w:p w14:paraId="5BED9C26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USR計畫三大核心目標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D810F4" w14:paraId="678E221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C54A4" w14:textId="77777777" w:rsidR="00D810F4" w:rsidRDefault="00000000" w:rsidP="0028395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核心目標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7F491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具體內涵</w:t>
            </w:r>
          </w:p>
        </w:tc>
      </w:tr>
      <w:tr w:rsidR="00D810F4" w14:paraId="62C5C98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F784B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color w:val="2E5E8C"/>
                <w:sz w:val="22"/>
                <w:szCs w:val="22"/>
              </w:rPr>
              <w:t>人才培育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6B336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培養具社會責任感之專業人才，提供學生實務參與在地問題解決之機會，強化學生將專業知識運用於實踐場域之能力。</w:t>
            </w:r>
          </w:p>
        </w:tc>
      </w:tr>
      <w:tr w:rsidR="00D810F4" w14:paraId="21F95EF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20322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color w:val="4A7C4E"/>
                <w:sz w:val="22"/>
                <w:szCs w:val="22"/>
              </w:rPr>
              <w:t>在地連結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F122F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深化大學對在地議題之關注，運用專業知識技術協助解決區域問題，促進學校與地方社會及產業之合作。</w:t>
            </w:r>
          </w:p>
        </w:tc>
      </w:tr>
      <w:tr w:rsidR="00D810F4" w14:paraId="03127AF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C9439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color w:val="D97B2A"/>
                <w:sz w:val="22"/>
                <w:szCs w:val="22"/>
              </w:rPr>
              <w:t>社會影響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F49E4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促進大學研究成果直接回饋社會，推動區域永續發展，提升整體社會發展品質。</w:t>
            </w:r>
          </w:p>
        </w:tc>
      </w:tr>
    </w:tbl>
    <w:p w14:paraId="7704D023" w14:textId="77777777" w:rsidR="00D810F4" w:rsidRDefault="00D810F4">
      <w:pPr>
        <w:spacing w:after="80" w:line="360" w:lineRule="auto"/>
      </w:pPr>
    </w:p>
    <w:p w14:paraId="0EB1D092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貳、本校USR推動歷程與現況</w:t>
      </w:r>
    </w:p>
    <w:p w14:paraId="569B3333" w14:textId="77777777" w:rsidR="00D810F4" w:rsidRDefault="00000000">
      <w:pPr>
        <w:spacing w:after="160" w:line="360" w:lineRule="auto"/>
        <w:rPr>
          <w:color w:val="333333"/>
        </w:rPr>
      </w:pPr>
      <w:r>
        <w:rPr>
          <w:color w:val="333333"/>
        </w:rPr>
        <w:t>本校自107年試辦期起參與USR計畫，歷經四期發展，獲教育部補助</w:t>
      </w:r>
      <w:proofErr w:type="gramStart"/>
      <w:r>
        <w:rPr>
          <w:color w:val="333333"/>
        </w:rPr>
        <w:t>件數逐期</w:t>
      </w:r>
      <w:proofErr w:type="gramEnd"/>
      <w:r>
        <w:rPr>
          <w:color w:val="333333"/>
        </w:rPr>
        <w:t>成長，至第四期已達5件，顯示本校推動成效顯著。</w:t>
      </w:r>
      <w:proofErr w:type="gramStart"/>
      <w:r>
        <w:rPr>
          <w:color w:val="333333"/>
        </w:rPr>
        <w:t>114</w:t>
      </w:r>
      <w:proofErr w:type="gramEnd"/>
      <w:r>
        <w:rPr>
          <w:color w:val="333333"/>
        </w:rPr>
        <w:t>年度獲補助之教育部USR計畫包括：</w:t>
      </w:r>
    </w:p>
    <w:p w14:paraId="51377D95" w14:textId="77777777" w:rsidR="0017158B" w:rsidRDefault="0017158B">
      <w:pPr>
        <w:spacing w:after="160" w:line="360" w:lineRule="auto"/>
        <w:rPr>
          <w:rFonts w:hint="eastAsi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D810F4" w14:paraId="0AF579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81448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計畫類型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EBF16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計畫名稱</w:t>
            </w:r>
          </w:p>
        </w:tc>
      </w:tr>
      <w:tr w:rsidR="00D810F4" w14:paraId="131BF76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17074" w14:textId="77777777" w:rsidR="00283950" w:rsidRDefault="00000000" w:rsidP="00283950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永續發展類</w:t>
            </w:r>
          </w:p>
          <w:p w14:paraId="06531ECA" w14:textId="07C51849" w:rsidR="00D810F4" w:rsidRDefault="00000000" w:rsidP="00283950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國際合作型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0ECDF" w14:textId="77777777" w:rsidR="00D810F4" w:rsidRDefault="00000000">
            <w:pPr>
              <w:spacing w:line="320" w:lineRule="auto"/>
            </w:pPr>
            <w:proofErr w:type="gramStart"/>
            <w:r>
              <w:rPr>
                <w:sz w:val="22"/>
                <w:szCs w:val="22"/>
              </w:rPr>
              <w:t>浪愛無</w:t>
            </w:r>
            <w:proofErr w:type="gramEnd"/>
            <w:r>
              <w:rPr>
                <w:sz w:val="22"/>
                <w:szCs w:val="22"/>
              </w:rPr>
              <w:t>國界：流浪動物減量與福祉實踐</w:t>
            </w:r>
          </w:p>
        </w:tc>
      </w:tr>
      <w:tr w:rsidR="00D810F4" w14:paraId="6282164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F4D2A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萌芽型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00BD1" w14:textId="77777777" w:rsidR="00D810F4" w:rsidRDefault="00000000">
            <w:pPr>
              <w:spacing w:line="320" w:lineRule="auto"/>
            </w:pPr>
            <w:proofErr w:type="gramStart"/>
            <w:r>
              <w:rPr>
                <w:sz w:val="22"/>
                <w:szCs w:val="22"/>
              </w:rPr>
              <w:t>綠旱雙脈．興水同心─</w:t>
            </w:r>
            <w:proofErr w:type="gramEnd"/>
            <w:r>
              <w:rPr>
                <w:sz w:val="22"/>
                <w:szCs w:val="22"/>
              </w:rPr>
              <w:t>兩河流域守護實驗室</w:t>
            </w:r>
          </w:p>
        </w:tc>
      </w:tr>
      <w:tr w:rsidR="00D810F4" w14:paraId="5F4BAA1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EB62F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萌芽型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FE89C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以南投清流、中原與眉原部落為起點，打造健康福祉的原鄉</w:t>
            </w:r>
          </w:p>
        </w:tc>
      </w:tr>
      <w:tr w:rsidR="00D810F4" w14:paraId="33FB8B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868FA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萌芽型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02300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環境韌性與永續</w:t>
            </w:r>
            <w:proofErr w:type="gramStart"/>
            <w:r>
              <w:rPr>
                <w:sz w:val="22"/>
                <w:szCs w:val="22"/>
              </w:rPr>
              <w:t>─</w:t>
            </w:r>
            <w:proofErr w:type="gramEnd"/>
            <w:r>
              <w:rPr>
                <w:sz w:val="22"/>
                <w:szCs w:val="22"/>
              </w:rPr>
              <w:t>生態復育森川里共榮</w:t>
            </w:r>
          </w:p>
        </w:tc>
      </w:tr>
      <w:tr w:rsidR="00D810F4" w14:paraId="6464D8C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BA359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萌芽型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664C6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水尾社區園藝</w:t>
            </w:r>
            <w:proofErr w:type="gramStart"/>
            <w:r>
              <w:rPr>
                <w:sz w:val="22"/>
                <w:szCs w:val="22"/>
              </w:rPr>
              <w:t>輔療共</w:t>
            </w:r>
            <w:proofErr w:type="gramEnd"/>
            <w:r>
              <w:rPr>
                <w:sz w:val="22"/>
                <w:szCs w:val="22"/>
              </w:rPr>
              <w:t>學計畫</w:t>
            </w:r>
          </w:p>
        </w:tc>
      </w:tr>
    </w:tbl>
    <w:p w14:paraId="573198F8" w14:textId="77777777" w:rsidR="00D810F4" w:rsidRDefault="00000000">
      <w:pPr>
        <w:spacing w:after="160" w:line="360" w:lineRule="auto"/>
      </w:pPr>
      <w:r>
        <w:rPr>
          <w:color w:val="333333"/>
        </w:rPr>
        <w:t>本次</w:t>
      </w:r>
      <w:proofErr w:type="gramStart"/>
      <w:r>
        <w:rPr>
          <w:color w:val="333333"/>
        </w:rPr>
        <w:t>115</w:t>
      </w:r>
      <w:proofErr w:type="gramEnd"/>
      <w:r>
        <w:rPr>
          <w:color w:val="333333"/>
        </w:rPr>
        <w:t>年度校內徵件，即是為培育未來可向教育部提案之種子團隊與Hub團隊，透過校內計畫之執行經驗累積，逐步提升至可申請教育部USR計畫之水準。</w:t>
      </w:r>
    </w:p>
    <w:p w14:paraId="24C651D0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參、校內USR計畫培育架構</w:t>
      </w:r>
    </w:p>
    <w:p w14:paraId="673D6BBB" w14:textId="77777777" w:rsidR="00D810F4" w:rsidRDefault="00000000">
      <w:pPr>
        <w:spacing w:after="160" w:line="360" w:lineRule="auto"/>
      </w:pPr>
      <w:r>
        <w:rPr>
          <w:color w:val="333333"/>
        </w:rPr>
        <w:t>本校USR計畫</w:t>
      </w:r>
      <w:proofErr w:type="gramStart"/>
      <w:r>
        <w:rPr>
          <w:color w:val="333333"/>
        </w:rPr>
        <w:t>採</w:t>
      </w:r>
      <w:proofErr w:type="gramEnd"/>
      <w:r>
        <w:rPr>
          <w:color w:val="333333"/>
        </w:rPr>
        <w:t>三階段漸進式培育機制，由校內種子團隊出發，逐步發展至教育部USR計畫。</w:t>
      </w:r>
      <w:proofErr w:type="gramStart"/>
      <w:r>
        <w:rPr>
          <w:color w:val="333333"/>
        </w:rPr>
        <w:t>115</w:t>
      </w:r>
      <w:proofErr w:type="gramEnd"/>
      <w:r>
        <w:rPr>
          <w:color w:val="333333"/>
        </w:rPr>
        <w:t>年度徵件範圍為第一階段（種子團隊）與第二階段（USR Hub團隊）。各階段之定位與推動重點如下：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13"/>
        <w:gridCol w:w="3613"/>
      </w:tblGrid>
      <w:tr w:rsidR="00D810F4" w14:paraId="7CFB45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AD69A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階段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79A7A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定位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E0D91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推動重點</w:t>
            </w:r>
          </w:p>
        </w:tc>
      </w:tr>
      <w:tr w:rsidR="00D810F4" w14:paraId="690025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73FB0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第一階段 種子團隊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316A1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校內USR入門階段，以在地需求為出發點，盤點及協助解決區域問題。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81A91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開設正式實踐課程（含系所專業及通識課程），進行在地問題盤點。</w:t>
            </w:r>
          </w:p>
        </w:tc>
      </w:tr>
      <w:tr w:rsidR="00D810F4" w14:paraId="5ECFFB0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B92DC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第二階段 USR Hub團隊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DE1E7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深化場域經營，帶入本校跨領域研究特色專長，重視地方需求。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04EE8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開設正式課程並規劃學分學程，成立教師專業社群，深化場域經營。</w:t>
            </w:r>
          </w:p>
        </w:tc>
      </w:tr>
      <w:tr w:rsidR="00D810F4" w14:paraId="10835A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D8F09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第三階段 教育部USR計畫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52A28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具備完整USR執行經驗，可向教育部提案申請補助。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F0AEE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實踐社會責任、教學創新多元、深化場域經營、</w:t>
            </w:r>
            <w:proofErr w:type="gramStart"/>
            <w:r>
              <w:rPr>
                <w:sz w:val="22"/>
                <w:szCs w:val="22"/>
              </w:rPr>
              <w:t>接軌永續</w:t>
            </w:r>
            <w:proofErr w:type="gramEnd"/>
            <w:r>
              <w:rPr>
                <w:sz w:val="22"/>
                <w:szCs w:val="22"/>
              </w:rPr>
              <w:t>發展、成果擴散國際。</w:t>
            </w:r>
          </w:p>
        </w:tc>
      </w:tr>
    </w:tbl>
    <w:p w14:paraId="2B576DB0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lastRenderedPageBreak/>
        <w:t>肆、</w:t>
      </w:r>
      <w:proofErr w:type="gramStart"/>
      <w:r>
        <w:rPr>
          <w:b/>
          <w:bCs/>
          <w:color w:val="2E5E8C"/>
          <w:sz w:val="30"/>
          <w:szCs w:val="30"/>
        </w:rPr>
        <w:t>115</w:t>
      </w:r>
      <w:proofErr w:type="gramEnd"/>
      <w:r>
        <w:rPr>
          <w:b/>
          <w:bCs/>
          <w:color w:val="2E5E8C"/>
          <w:sz w:val="30"/>
          <w:szCs w:val="30"/>
        </w:rPr>
        <w:t>年度徵件類型與提案條件</w:t>
      </w:r>
    </w:p>
    <w:p w14:paraId="5417C13E" w14:textId="77777777" w:rsidR="00D810F4" w:rsidRDefault="00000000">
      <w:pPr>
        <w:spacing w:after="160" w:line="360" w:lineRule="auto"/>
      </w:pPr>
      <w:r>
        <w:rPr>
          <w:color w:val="333333"/>
        </w:rPr>
        <w:t>本年度徵件分為「種子計畫」與「Hub計畫」兩類，各類之提案條件說明如下：</w:t>
      </w:r>
    </w:p>
    <w:p w14:paraId="2E5D4C3A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一、種子計畫與Hub計畫基本條件比較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2387"/>
        <w:gridCol w:w="3318"/>
        <w:gridCol w:w="3321"/>
      </w:tblGrid>
      <w:tr w:rsidR="00D810F4" w14:paraId="52FD1321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22BB4" w14:textId="77777777" w:rsidR="00D810F4" w:rsidRDefault="00000000" w:rsidP="0028395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條件項目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93820B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種子計畫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097D2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Hub計畫</w:t>
            </w:r>
          </w:p>
        </w:tc>
      </w:tr>
      <w:tr w:rsidR="00D810F4" w14:paraId="0ECA809A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3A989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跨領域要求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BD0B9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團隊成員需跨2個不同系所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32EE3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團隊成員需跨3個不同系所</w:t>
            </w:r>
          </w:p>
        </w:tc>
      </w:tr>
      <w:tr w:rsidR="00D810F4" w14:paraId="66E58254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44806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課程規劃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BCADF" w14:textId="77777777" w:rsidR="00D810F4" w:rsidRPr="0017158B" w:rsidRDefault="00000000">
            <w:pPr>
              <w:spacing w:line="320" w:lineRule="auto"/>
              <w:rPr>
                <w:b/>
                <w:bCs/>
              </w:rPr>
            </w:pPr>
            <w:r w:rsidRPr="0017158B">
              <w:rPr>
                <w:b/>
                <w:bCs/>
                <w:sz w:val="22"/>
                <w:szCs w:val="22"/>
              </w:rPr>
              <w:t>每學年至少開設</w:t>
            </w:r>
            <w:r w:rsidRPr="0017158B">
              <w:rPr>
                <w:b/>
                <w:bCs/>
                <w:color w:val="EE0000"/>
                <w:sz w:val="22"/>
                <w:szCs w:val="22"/>
              </w:rPr>
              <w:t>2門專業實踐課程</w:t>
            </w:r>
            <w:r w:rsidRPr="0017158B">
              <w:rPr>
                <w:b/>
                <w:bCs/>
                <w:sz w:val="22"/>
                <w:szCs w:val="22"/>
              </w:rPr>
              <w:t>（含系院正式課程）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2ABCB" w14:textId="79A6081A" w:rsidR="00D810F4" w:rsidRPr="0017158B" w:rsidRDefault="00000000">
            <w:pPr>
              <w:spacing w:line="320" w:lineRule="auto"/>
              <w:rPr>
                <w:b/>
                <w:bCs/>
              </w:rPr>
            </w:pPr>
            <w:r w:rsidRPr="0017158B">
              <w:rPr>
                <w:b/>
                <w:bCs/>
                <w:sz w:val="22"/>
                <w:szCs w:val="22"/>
              </w:rPr>
              <w:t>每學年至少開設</w:t>
            </w:r>
            <w:r w:rsidR="0017158B" w:rsidRPr="0017158B">
              <w:rPr>
                <w:rFonts w:hint="eastAsia"/>
                <w:b/>
                <w:bCs/>
                <w:color w:val="EE0000"/>
                <w:sz w:val="22"/>
                <w:szCs w:val="22"/>
              </w:rPr>
              <w:t>4</w:t>
            </w:r>
            <w:r w:rsidRPr="0017158B">
              <w:rPr>
                <w:b/>
                <w:bCs/>
                <w:color w:val="EE0000"/>
                <w:sz w:val="22"/>
                <w:szCs w:val="22"/>
              </w:rPr>
              <w:t>門專業實踐課程</w:t>
            </w:r>
            <w:r w:rsidRPr="0017158B">
              <w:rPr>
                <w:b/>
                <w:bCs/>
                <w:sz w:val="22"/>
                <w:szCs w:val="22"/>
              </w:rPr>
              <w:t>（含系院正式課程）</w:t>
            </w:r>
          </w:p>
        </w:tc>
      </w:tr>
      <w:tr w:rsidR="00D810F4" w14:paraId="2241C4BA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5CCD3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執行經驗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F7B3D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無特別要求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7C308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需有USR計畫執行經驗</w:t>
            </w:r>
          </w:p>
        </w:tc>
      </w:tr>
      <w:tr w:rsidR="00D810F4" w14:paraId="2204CBDF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4DD99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實踐場域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6221B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需以在地需求出發，實踐場地不得為校內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73262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需以在地需求出發，實踐場地不得為校內</w:t>
            </w:r>
          </w:p>
        </w:tc>
      </w:tr>
      <w:tr w:rsidR="00D810F4" w14:paraId="79CF873E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DDD90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教師社群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9B5F5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無強制要求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626EA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需成立教師專業社群</w:t>
            </w:r>
          </w:p>
        </w:tc>
      </w:tr>
      <w:tr w:rsidR="00D810F4" w14:paraId="61FC9895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4441F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本校獨特性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610A2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需具備本校獨特性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8F99B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需具備本校獨特性</w:t>
            </w:r>
          </w:p>
        </w:tc>
      </w:tr>
      <w:tr w:rsidR="00D810F4" w14:paraId="5B282EF0" w14:textId="77777777" w:rsidTr="0028395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66DE9" w14:textId="77777777" w:rsidR="00D810F4" w:rsidRDefault="00000000" w:rsidP="00283950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經費上限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35F10" w14:textId="77777777" w:rsidR="00D810F4" w:rsidRDefault="00000000">
            <w:pPr>
              <w:spacing w:line="320" w:lineRule="auto"/>
            </w:pPr>
            <w:r>
              <w:rPr>
                <w:b/>
                <w:bCs/>
                <w:color w:val="C0392B"/>
                <w:sz w:val="22"/>
                <w:szCs w:val="22"/>
              </w:rPr>
              <w:t>50萬元</w:t>
            </w:r>
          </w:p>
        </w:tc>
        <w:tc>
          <w:tcPr>
            <w:tcW w:w="33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28D00" w14:textId="77777777" w:rsidR="00D810F4" w:rsidRDefault="00000000">
            <w:pPr>
              <w:spacing w:line="320" w:lineRule="auto"/>
            </w:pPr>
            <w:r>
              <w:rPr>
                <w:b/>
                <w:bCs/>
                <w:color w:val="C0392B"/>
                <w:sz w:val="22"/>
                <w:szCs w:val="22"/>
              </w:rPr>
              <w:t>100萬元</w:t>
            </w:r>
          </w:p>
        </w:tc>
      </w:tr>
      <w:tr w:rsidR="0017158B" w:rsidRPr="0017158B" w14:paraId="3938E19E" w14:textId="77777777" w:rsidTr="00283950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850"/>
        </w:trPr>
        <w:tc>
          <w:tcPr>
            <w:tcW w:w="0" w:type="auto"/>
            <w:gridSpan w:val="3"/>
            <w:tcBorders>
              <w:top w:val="single" w:sz="6" w:space="0" w:color="2E5E8C"/>
              <w:left w:val="single" w:sz="6" w:space="0" w:color="2E5E8C"/>
            </w:tcBorders>
            <w:shd w:val="clear" w:color="auto" w:fill="D5E8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C7EF6C" w14:textId="77777777" w:rsidR="00D810F4" w:rsidRPr="0017158B" w:rsidRDefault="00000000" w:rsidP="0017158B">
            <w:pPr>
              <w:spacing w:after="60"/>
              <w:rPr>
                <w:b/>
                <w:bCs/>
                <w:color w:val="EE0000"/>
                <w:sz w:val="28"/>
                <w:szCs w:val="28"/>
              </w:rPr>
            </w:pPr>
            <w:r w:rsidRPr="0017158B">
              <w:rPr>
                <w:b/>
                <w:bCs/>
                <w:color w:val="EE0000"/>
                <w:sz w:val="28"/>
                <w:szCs w:val="28"/>
                <w:highlight w:val="yellow"/>
              </w:rPr>
              <w:t>重要提醒：授課教師需帶領學生進入校外場域進行實踐教學，實踐場地不得位於校園內。</w:t>
            </w:r>
          </w:p>
        </w:tc>
      </w:tr>
    </w:tbl>
    <w:p w14:paraId="56344D01" w14:textId="77777777" w:rsidR="00D810F4" w:rsidRDefault="00D810F4">
      <w:pPr>
        <w:spacing w:after="80" w:line="360" w:lineRule="auto"/>
      </w:pPr>
    </w:p>
    <w:p w14:paraId="2F7AFAB4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二、議題選擇要求</w:t>
      </w:r>
    </w:p>
    <w:p w14:paraId="1BF08EFA" w14:textId="77777777" w:rsidR="00D810F4" w:rsidRDefault="00000000">
      <w:pPr>
        <w:spacing w:after="160" w:line="360" w:lineRule="auto"/>
      </w:pPr>
      <w:r>
        <w:rPr>
          <w:color w:val="333333"/>
        </w:rPr>
        <w:t>提案時需同時對應以下三個層次之議題框架，缺一不可：</w:t>
      </w:r>
    </w:p>
    <w:p w14:paraId="76A9E083" w14:textId="77777777" w:rsidR="00D810F4" w:rsidRDefault="00000000">
      <w:pPr>
        <w:spacing w:before="200" w:after="120"/>
      </w:pPr>
      <w:r>
        <w:rPr>
          <w:b/>
          <w:bCs/>
          <w:color w:val="333333"/>
        </w:rPr>
        <w:t>（一）教育部USR推動議題（7選1）</w:t>
      </w:r>
    </w:p>
    <w:p w14:paraId="6E16FDAB" w14:textId="77777777" w:rsidR="00D810F4" w:rsidRDefault="00000000">
      <w:pPr>
        <w:spacing w:after="160" w:line="360" w:lineRule="auto"/>
      </w:pPr>
      <w:r>
        <w:rPr>
          <w:color w:val="333333"/>
        </w:rPr>
        <w:t>申請團隊須從下列七項教育部推動議題中擇定一項，作為計畫之主軸議題：</w:t>
      </w:r>
    </w:p>
    <w:p w14:paraId="030E8189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在地關懷</w:t>
      </w:r>
    </w:p>
    <w:p w14:paraId="5E8C1459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lastRenderedPageBreak/>
        <w:t>永續環境</w:t>
      </w:r>
    </w:p>
    <w:p w14:paraId="3EF58149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產業鏈結與經濟永續</w:t>
      </w:r>
    </w:p>
    <w:p w14:paraId="6B6DAE06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健康促進與食品安全</w:t>
      </w:r>
    </w:p>
    <w:p w14:paraId="69BA1A95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文化永續</w:t>
      </w:r>
    </w:p>
    <w:p w14:paraId="239AB074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氣候變遷</w:t>
      </w:r>
      <w:proofErr w:type="gramStart"/>
      <w:r>
        <w:rPr>
          <w:sz w:val="22"/>
          <w:szCs w:val="22"/>
        </w:rPr>
        <w:t>淨零碳排</w:t>
      </w:r>
      <w:proofErr w:type="gramEnd"/>
    </w:p>
    <w:p w14:paraId="00702251" w14:textId="77777777" w:rsidR="00D810F4" w:rsidRDefault="00000000">
      <w:pPr>
        <w:pStyle w:val="a4"/>
        <w:numPr>
          <w:ilvl w:val="0"/>
          <w:numId w:val="2"/>
        </w:numPr>
        <w:spacing w:after="60" w:line="320" w:lineRule="auto"/>
      </w:pPr>
      <w:r>
        <w:rPr>
          <w:sz w:val="22"/>
          <w:szCs w:val="22"/>
        </w:rPr>
        <w:t>其他社會實踐</w:t>
      </w:r>
    </w:p>
    <w:p w14:paraId="2429080E" w14:textId="26C68547" w:rsidR="00D810F4" w:rsidRDefault="00000000">
      <w:pPr>
        <w:spacing w:before="200" w:after="120"/>
      </w:pPr>
      <w:r>
        <w:rPr>
          <w:b/>
          <w:bCs/>
          <w:color w:val="333333"/>
        </w:rPr>
        <w:t>（二）本校USR藍圖（</w:t>
      </w:r>
      <w:r w:rsidR="00A957D8">
        <w:rPr>
          <w:rFonts w:hint="eastAsia"/>
          <w:b/>
          <w:bCs/>
          <w:color w:val="333333"/>
        </w:rPr>
        <w:t>7</w:t>
      </w:r>
      <w:r>
        <w:rPr>
          <w:b/>
          <w:bCs/>
          <w:color w:val="333333"/>
        </w:rPr>
        <w:t>選1）</w:t>
      </w:r>
    </w:p>
    <w:p w14:paraId="5526D0CF" w14:textId="77777777" w:rsidR="00D810F4" w:rsidRDefault="00000000">
      <w:pPr>
        <w:spacing w:after="160" w:line="360" w:lineRule="auto"/>
      </w:pPr>
      <w:r>
        <w:rPr>
          <w:color w:val="333333"/>
        </w:rPr>
        <w:t>申請團隊須從本校USR發展藍圖之五大方向中擇定一項：</w:t>
      </w:r>
    </w:p>
    <w:p w14:paraId="4D25793A" w14:textId="77777777" w:rsidR="00D810F4" w:rsidRDefault="00000000">
      <w:pPr>
        <w:pStyle w:val="a4"/>
        <w:numPr>
          <w:ilvl w:val="0"/>
          <w:numId w:val="3"/>
        </w:numPr>
        <w:spacing w:after="60" w:line="320" w:lineRule="auto"/>
      </w:pPr>
      <w:r>
        <w:rPr>
          <w:sz w:val="22"/>
          <w:szCs w:val="22"/>
        </w:rPr>
        <w:t>在地產業創生</w:t>
      </w:r>
    </w:p>
    <w:p w14:paraId="31A892B8" w14:textId="77777777" w:rsidR="00D810F4" w:rsidRDefault="00000000">
      <w:pPr>
        <w:pStyle w:val="a4"/>
        <w:numPr>
          <w:ilvl w:val="0"/>
          <w:numId w:val="3"/>
        </w:numPr>
        <w:spacing w:after="60" w:line="320" w:lineRule="auto"/>
      </w:pPr>
      <w:r>
        <w:rPr>
          <w:sz w:val="22"/>
          <w:szCs w:val="22"/>
        </w:rPr>
        <w:t>健康福祉促進</w:t>
      </w:r>
    </w:p>
    <w:p w14:paraId="2B115EDB" w14:textId="77777777" w:rsidR="00D810F4" w:rsidRDefault="00000000">
      <w:pPr>
        <w:pStyle w:val="a4"/>
        <w:numPr>
          <w:ilvl w:val="0"/>
          <w:numId w:val="3"/>
        </w:numPr>
        <w:spacing w:after="60" w:line="320" w:lineRule="auto"/>
      </w:pPr>
      <w:r>
        <w:rPr>
          <w:sz w:val="22"/>
          <w:szCs w:val="22"/>
        </w:rPr>
        <w:t>AI智慧家園</w:t>
      </w:r>
    </w:p>
    <w:p w14:paraId="5470D25F" w14:textId="77777777" w:rsidR="00D810F4" w:rsidRDefault="00000000">
      <w:pPr>
        <w:pStyle w:val="a4"/>
        <w:numPr>
          <w:ilvl w:val="0"/>
          <w:numId w:val="3"/>
        </w:numPr>
        <w:spacing w:after="60" w:line="320" w:lineRule="auto"/>
      </w:pPr>
      <w:proofErr w:type="gramStart"/>
      <w:r>
        <w:rPr>
          <w:sz w:val="22"/>
          <w:szCs w:val="22"/>
        </w:rPr>
        <w:t>青銀食</w:t>
      </w:r>
      <w:proofErr w:type="gramEnd"/>
      <w:r>
        <w:rPr>
          <w:sz w:val="22"/>
          <w:szCs w:val="22"/>
        </w:rPr>
        <w:t>安樂活</w:t>
      </w:r>
    </w:p>
    <w:p w14:paraId="0743660D" w14:textId="77777777" w:rsidR="00D810F4" w:rsidRPr="00A957D8" w:rsidRDefault="00000000">
      <w:pPr>
        <w:pStyle w:val="a4"/>
        <w:numPr>
          <w:ilvl w:val="0"/>
          <w:numId w:val="3"/>
        </w:numPr>
        <w:spacing w:after="60" w:line="320" w:lineRule="auto"/>
      </w:pPr>
      <w:r>
        <w:rPr>
          <w:sz w:val="22"/>
          <w:szCs w:val="22"/>
        </w:rPr>
        <w:t>永</w:t>
      </w:r>
      <w:proofErr w:type="gramStart"/>
      <w:r>
        <w:rPr>
          <w:sz w:val="22"/>
          <w:szCs w:val="22"/>
        </w:rPr>
        <w:t>續淨零</w:t>
      </w:r>
      <w:proofErr w:type="gramEnd"/>
      <w:r>
        <w:rPr>
          <w:sz w:val="22"/>
          <w:szCs w:val="22"/>
        </w:rPr>
        <w:t>排放</w:t>
      </w:r>
    </w:p>
    <w:p w14:paraId="298AAE36" w14:textId="69D132AC" w:rsidR="00A957D8" w:rsidRPr="00A957D8" w:rsidRDefault="00A957D8">
      <w:pPr>
        <w:pStyle w:val="a4"/>
        <w:numPr>
          <w:ilvl w:val="0"/>
          <w:numId w:val="3"/>
        </w:numPr>
        <w:spacing w:after="60" w:line="320" w:lineRule="auto"/>
      </w:pPr>
      <w:r>
        <w:rPr>
          <w:rFonts w:hint="eastAsia"/>
          <w:sz w:val="22"/>
          <w:szCs w:val="22"/>
        </w:rPr>
        <w:t>社會韌性</w:t>
      </w:r>
    </w:p>
    <w:p w14:paraId="09D4DAC6" w14:textId="1160ABB3" w:rsidR="00A957D8" w:rsidRDefault="00A957D8">
      <w:pPr>
        <w:pStyle w:val="a4"/>
        <w:numPr>
          <w:ilvl w:val="0"/>
          <w:numId w:val="3"/>
        </w:numPr>
        <w:spacing w:after="60" w:line="320" w:lineRule="auto"/>
      </w:pPr>
      <w:r>
        <w:rPr>
          <w:rFonts w:hint="eastAsia"/>
          <w:sz w:val="22"/>
          <w:szCs w:val="22"/>
        </w:rPr>
        <w:t>轉型正義</w:t>
      </w:r>
    </w:p>
    <w:p w14:paraId="29EB153B" w14:textId="77777777" w:rsidR="00D810F4" w:rsidRDefault="00000000">
      <w:pPr>
        <w:spacing w:before="200" w:after="120"/>
      </w:pPr>
      <w:r>
        <w:rPr>
          <w:b/>
          <w:bCs/>
          <w:color w:val="333333"/>
        </w:rPr>
        <w:t>（三）聯合國永續發展目標（SDGs）</w:t>
      </w:r>
    </w:p>
    <w:p w14:paraId="3A9A3CC5" w14:textId="23856C1E" w:rsidR="00D810F4" w:rsidRPr="00D62207" w:rsidRDefault="00000000">
      <w:pPr>
        <w:spacing w:after="160" w:line="360" w:lineRule="auto"/>
        <w:rPr>
          <w:rFonts w:hint="eastAsia"/>
        </w:rPr>
      </w:pPr>
      <w:r>
        <w:rPr>
          <w:color w:val="333333"/>
        </w:rPr>
        <w:t>SDGs</w:t>
      </w:r>
      <w:r w:rsidR="00A957D8">
        <w:rPr>
          <w:rFonts w:hint="eastAsia"/>
          <w:color w:val="333333"/>
        </w:rPr>
        <w:t>目標</w:t>
      </w:r>
      <w:r>
        <w:rPr>
          <w:color w:val="333333"/>
        </w:rPr>
        <w:t>之選擇分為「必選」與「任選」兩部分</w:t>
      </w:r>
      <w:r w:rsidR="00A957D8">
        <w:rPr>
          <w:rFonts w:hint="eastAsia"/>
          <w:color w:val="333333"/>
        </w:rPr>
        <w:t>，</w:t>
      </w:r>
      <w:r w:rsidR="00A957D8" w:rsidRPr="00A957D8">
        <w:rPr>
          <w:rFonts w:hint="eastAsia"/>
          <w:b/>
          <w:bCs/>
          <w:color w:val="333333"/>
        </w:rPr>
        <w:t>請注意SDGs目標必須要對應</w:t>
      </w:r>
      <w:r w:rsidR="00A10435">
        <w:rPr>
          <w:rFonts w:hint="eastAsia"/>
          <w:b/>
          <w:bCs/>
          <w:color w:val="333333"/>
        </w:rPr>
        <w:t>至</w:t>
      </w:r>
      <w:r w:rsidR="00A957D8" w:rsidRPr="00A957D8">
        <w:rPr>
          <w:rFonts w:hint="eastAsia"/>
          <w:b/>
          <w:bCs/>
          <w:color w:val="333333"/>
        </w:rPr>
        <w:t>「細項指標」</w:t>
      </w:r>
      <w:r w:rsidR="00A957D8">
        <w:rPr>
          <w:rFonts w:hint="eastAsia"/>
          <w:color w:val="333333"/>
        </w:rPr>
        <w:t>，請參考</w:t>
      </w:r>
      <w:hyperlink r:id="rId13" w:history="1">
        <w:r w:rsidR="00A957D8" w:rsidRPr="00882AF1">
          <w:rPr>
            <w:rStyle w:val="a5"/>
          </w:rPr>
          <w:t>https://globalgoals.tw/</w:t>
        </w:r>
      </w:hyperlink>
      <w:r w:rsidR="00A957D8">
        <w:rPr>
          <w:rFonts w:hint="eastAsia"/>
          <w:color w:val="333333"/>
        </w:rPr>
        <w:t>，查詢每項SDG之細項指標，並於</w:t>
      </w:r>
      <w:r w:rsidR="00A10435">
        <w:rPr>
          <w:rFonts w:hint="eastAsia"/>
          <w:color w:val="333333"/>
        </w:rPr>
        <w:t>計畫</w:t>
      </w:r>
      <w:r w:rsidR="00A957D8">
        <w:rPr>
          <w:rFonts w:hint="eastAsia"/>
          <w:color w:val="333333"/>
        </w:rPr>
        <w:t>申請書註明，如：</w:t>
      </w:r>
      <w:r w:rsidR="00A957D8" w:rsidRPr="00A10435">
        <w:rPr>
          <w:rFonts w:hint="eastAsia"/>
          <w:b/>
          <w:bCs/>
          <w:color w:val="333333"/>
          <w:u w:val="single"/>
        </w:rPr>
        <w:t>SDG4</w:t>
      </w:r>
      <w:r w:rsidR="00A10435" w:rsidRPr="00A10435">
        <w:rPr>
          <w:rFonts w:hint="eastAsia"/>
          <w:b/>
          <w:bCs/>
          <w:color w:val="333333"/>
          <w:u w:val="single"/>
        </w:rPr>
        <w:t>優質教育 細項</w:t>
      </w:r>
      <w:r w:rsidR="00A10435">
        <w:rPr>
          <w:rFonts w:hint="eastAsia"/>
          <w:b/>
          <w:bCs/>
          <w:color w:val="333333"/>
          <w:u w:val="single"/>
        </w:rPr>
        <w:t>指標</w:t>
      </w:r>
      <w:r w:rsidR="00A10435" w:rsidRPr="00A10435">
        <w:rPr>
          <w:rFonts w:hint="eastAsia"/>
          <w:b/>
          <w:bCs/>
          <w:color w:val="333333"/>
          <w:u w:val="single"/>
        </w:rPr>
        <w:t>4.5消除教育中的一切</w:t>
      </w:r>
      <w:proofErr w:type="gramStart"/>
      <w:r w:rsidR="00A10435" w:rsidRPr="00A10435">
        <w:rPr>
          <w:rFonts w:hint="eastAsia"/>
          <w:b/>
          <w:bCs/>
          <w:color w:val="333333"/>
          <w:u w:val="single"/>
        </w:rPr>
        <w:t>岐視</w:t>
      </w:r>
      <w:proofErr w:type="gramEnd"/>
      <w:r w:rsidR="00D62207" w:rsidRPr="00D62207">
        <w:rPr>
          <w:rFonts w:hint="eastAsia"/>
          <w:b/>
          <w:bCs/>
          <w:color w:val="333333"/>
        </w:rPr>
        <w:t>，可選擇複數細項。</w:t>
      </w:r>
    </w:p>
    <w:p w14:paraId="4A1A1E38" w14:textId="77777777" w:rsidR="00D810F4" w:rsidRPr="0017158B" w:rsidRDefault="00000000">
      <w:pPr>
        <w:spacing w:before="120" w:after="80"/>
        <w:rPr>
          <w:b/>
          <w:bCs/>
        </w:rPr>
      </w:pPr>
      <w:r w:rsidRPr="0017158B">
        <w:rPr>
          <w:b/>
          <w:bCs/>
          <w:color w:val="2E5E8C"/>
          <w:highlight w:val="yellow"/>
        </w:rPr>
        <w:t>必選1項（本校研究強項）：</w:t>
      </w:r>
    </w:p>
    <w:p w14:paraId="67061D36" w14:textId="77777777" w:rsidR="00D810F4" w:rsidRDefault="00000000">
      <w:pPr>
        <w:spacing w:after="160" w:line="360" w:lineRule="auto"/>
      </w:pPr>
      <w:r>
        <w:rPr>
          <w:color w:val="333333"/>
        </w:rPr>
        <w:t>依據本校近五年（2022-2024年）研究數據，以下7項SDGs面向之論文活躍度高於</w:t>
      </w:r>
      <w:r>
        <w:rPr>
          <w:color w:val="333333"/>
        </w:rPr>
        <w:lastRenderedPageBreak/>
        <w:t>世界平均水準，經IR中心盤點確認為本校研究強項。</w:t>
      </w:r>
      <w:r>
        <w:rPr>
          <w:b/>
          <w:bCs/>
          <w:color w:val="333333"/>
        </w:rPr>
        <w:t>提案計畫須從中擇定1項作為必選SDGs：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1757"/>
        <w:gridCol w:w="2751"/>
        <w:gridCol w:w="1767"/>
        <w:gridCol w:w="2751"/>
      </w:tblGrid>
      <w:tr w:rsidR="00D810F4" w14:paraId="7A69AA5D" w14:textId="77777777" w:rsidTr="0017158B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B9CC5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SDGs編號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A30F2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目標名稱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485A8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SDGs編號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884C0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目標名稱</w:t>
            </w:r>
          </w:p>
        </w:tc>
      </w:tr>
      <w:tr w:rsidR="00D810F4" w14:paraId="61268FC2" w14:textId="77777777" w:rsidTr="0017158B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9B236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2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6A857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消除飢餓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A512EE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12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421EF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負責任的消費與生產</w:t>
            </w:r>
          </w:p>
        </w:tc>
      </w:tr>
      <w:tr w:rsidR="00D810F4" w14:paraId="1964A63C" w14:textId="77777777" w:rsidTr="0017158B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5FFB0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3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EC03B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良好的健康與福祉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1613C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13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C37C6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氣候行動</w:t>
            </w:r>
          </w:p>
        </w:tc>
      </w:tr>
      <w:tr w:rsidR="00D810F4" w14:paraId="27395BFA" w14:textId="77777777" w:rsidTr="0017158B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4A16A6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6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3C9C0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清潔水與衛生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FB6B9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15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1A73B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陸域生命</w:t>
            </w:r>
          </w:p>
        </w:tc>
      </w:tr>
      <w:tr w:rsidR="00D810F4" w14:paraId="2934BE2F" w14:textId="77777777" w:rsidTr="0017158B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A3B9E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SDG 7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E0645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可負擔的清潔能源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37828" w14:textId="77777777" w:rsidR="00D810F4" w:rsidRDefault="00D810F4">
            <w:pPr>
              <w:spacing w:line="320" w:lineRule="auto"/>
            </w:pP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5705E" w14:textId="77777777" w:rsidR="00D810F4" w:rsidRDefault="00D810F4">
            <w:pPr>
              <w:spacing w:line="320" w:lineRule="auto"/>
            </w:pPr>
          </w:p>
        </w:tc>
      </w:tr>
      <w:tr w:rsidR="00D810F4" w14:paraId="2BDB4542" w14:textId="77777777" w:rsidTr="0017158B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</w:trPr>
        <w:tc>
          <w:tcPr>
            <w:tcW w:w="0" w:type="auto"/>
            <w:gridSpan w:val="4"/>
            <w:tcBorders>
              <w:top w:val="single" w:sz="6" w:space="0" w:color="2E5E8C"/>
              <w:left w:val="single" w:sz="6" w:space="0" w:color="2E5E8C"/>
            </w:tcBorders>
            <w:shd w:val="clear" w:color="auto" w:fill="D5E8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DFA574" w14:textId="77777777" w:rsidR="00D810F4" w:rsidRDefault="00000000">
            <w:pPr>
              <w:spacing w:after="60" w:line="360" w:lineRule="auto"/>
            </w:pPr>
            <w:r>
              <w:rPr>
                <w:color w:val="333333"/>
              </w:rPr>
              <w:t>說明：上述7項SDGs為本校2022-2024年論文活躍度高於世界平均水準之研究強項</w:t>
            </w:r>
            <w:proofErr w:type="gramStart"/>
            <w:r>
              <w:rPr>
                <w:color w:val="333333"/>
              </w:rPr>
              <w:t>（</w:t>
            </w:r>
            <w:proofErr w:type="gramEnd"/>
            <w:r>
              <w:rPr>
                <w:color w:val="333333"/>
              </w:rPr>
              <w:t>資料來源：113年IR中心盤點結果</w:t>
            </w:r>
            <w:proofErr w:type="gramStart"/>
            <w:r>
              <w:rPr>
                <w:color w:val="333333"/>
              </w:rPr>
              <w:t>）</w:t>
            </w:r>
            <w:proofErr w:type="gramEnd"/>
            <w:r>
              <w:rPr>
                <w:color w:val="333333"/>
              </w:rPr>
              <w:t>。提案計畫之核心議題須對應上列SDGs之一，以確保計畫方向與本校研究優勢緊密結合。</w:t>
            </w:r>
          </w:p>
        </w:tc>
      </w:tr>
    </w:tbl>
    <w:p w14:paraId="1C861165" w14:textId="77777777" w:rsidR="00D810F4" w:rsidRPr="0017158B" w:rsidRDefault="00000000">
      <w:pPr>
        <w:spacing w:before="120" w:after="80"/>
        <w:rPr>
          <w:b/>
          <w:bCs/>
        </w:rPr>
      </w:pPr>
      <w:r w:rsidRPr="0017158B">
        <w:rPr>
          <w:b/>
          <w:bCs/>
          <w:color w:val="2E5E8C"/>
        </w:rPr>
        <w:t>任選1至2項：</w:t>
      </w:r>
    </w:p>
    <w:p w14:paraId="5E562017" w14:textId="0DE9F052" w:rsidR="00D810F4" w:rsidRDefault="00000000">
      <w:pPr>
        <w:spacing w:after="160" w:line="360" w:lineRule="auto"/>
      </w:pPr>
      <w:r>
        <w:rPr>
          <w:color w:val="333333"/>
        </w:rPr>
        <w:t>可從SDGs全部17項目標中自由選擇1至2項，包括SDG 1（消除貧窮）、SDG 4（優質教育）、SDG 5（性別平等）、SDG 8（尊嚴就業與經濟發展）、SDG 9（產業創新與基礎設施）、SDG 10（減少不平等）、SDG 11（永續城市與社區）、SDG 14（水下生命）、SDG 16（和平正義與有力的制度）、SDG 17（夥伴關係）等。</w:t>
      </w:r>
    </w:p>
    <w:p w14:paraId="2919E860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伍、課程規劃要求</w:t>
      </w:r>
    </w:p>
    <w:p w14:paraId="61F4726E" w14:textId="77777777" w:rsidR="00D810F4" w:rsidRDefault="00000000">
      <w:pPr>
        <w:spacing w:after="160" w:line="360" w:lineRule="auto"/>
      </w:pPr>
      <w:r>
        <w:rPr>
          <w:color w:val="333333"/>
        </w:rPr>
        <w:t>實踐課程是USR計畫之核心，所有課程須具備以下特性：</w:t>
      </w:r>
    </w:p>
    <w:p w14:paraId="79D6D1B4" w14:textId="77777777" w:rsidR="00D810F4" w:rsidRDefault="00000000">
      <w:pPr>
        <w:pStyle w:val="a4"/>
        <w:numPr>
          <w:ilvl w:val="0"/>
          <w:numId w:val="4"/>
        </w:numPr>
        <w:spacing w:after="80" w:line="360" w:lineRule="auto"/>
      </w:pPr>
      <w:r>
        <w:rPr>
          <w:b/>
          <w:bCs/>
          <w:sz w:val="22"/>
          <w:szCs w:val="22"/>
        </w:rPr>
        <w:t>課程</w:t>
      </w:r>
      <w:proofErr w:type="gramStart"/>
      <w:r>
        <w:rPr>
          <w:b/>
          <w:bCs/>
          <w:sz w:val="22"/>
          <w:szCs w:val="22"/>
        </w:rPr>
        <w:t>須為系院</w:t>
      </w:r>
      <w:proofErr w:type="gramEnd"/>
      <w:r>
        <w:rPr>
          <w:b/>
          <w:bCs/>
          <w:sz w:val="22"/>
          <w:szCs w:val="22"/>
        </w:rPr>
        <w:t>正式開設之專業實踐課程</w:t>
      </w:r>
    </w:p>
    <w:p w14:paraId="4137EE3C" w14:textId="77777777" w:rsidR="00D810F4" w:rsidRDefault="00000000">
      <w:pPr>
        <w:pStyle w:val="a4"/>
        <w:numPr>
          <w:ilvl w:val="0"/>
          <w:numId w:val="4"/>
        </w:numPr>
        <w:spacing w:after="80" w:line="360" w:lineRule="auto"/>
      </w:pPr>
      <w:r>
        <w:rPr>
          <w:b/>
          <w:bCs/>
          <w:sz w:val="22"/>
          <w:szCs w:val="22"/>
        </w:rPr>
        <w:t>授課教師需帶領學生進入校外場域進行實踐教學</w:t>
      </w:r>
    </w:p>
    <w:p w14:paraId="19BB59C7" w14:textId="77777777" w:rsidR="00D810F4" w:rsidRDefault="00000000">
      <w:pPr>
        <w:pStyle w:val="a4"/>
        <w:numPr>
          <w:ilvl w:val="0"/>
          <w:numId w:val="4"/>
        </w:numPr>
        <w:spacing w:after="80" w:line="360" w:lineRule="auto"/>
      </w:pPr>
      <w:r>
        <w:rPr>
          <w:sz w:val="22"/>
          <w:szCs w:val="22"/>
        </w:rPr>
        <w:t>課程內容須呼應場域問題與計畫目標</w:t>
      </w:r>
    </w:p>
    <w:p w14:paraId="436FE2F0" w14:textId="77777777" w:rsidR="00D810F4" w:rsidRPr="0017158B" w:rsidRDefault="00000000">
      <w:pPr>
        <w:pStyle w:val="a4"/>
        <w:numPr>
          <w:ilvl w:val="0"/>
          <w:numId w:val="4"/>
        </w:numPr>
        <w:spacing w:after="80" w:line="360" w:lineRule="auto"/>
        <w:rPr>
          <w:b/>
          <w:bCs/>
        </w:rPr>
      </w:pPr>
      <w:r w:rsidRPr="0017158B">
        <w:rPr>
          <w:b/>
          <w:bCs/>
          <w:sz w:val="22"/>
          <w:szCs w:val="22"/>
        </w:rPr>
        <w:lastRenderedPageBreak/>
        <w:t>種子計畫：</w:t>
      </w:r>
      <w:r w:rsidRPr="0017158B">
        <w:rPr>
          <w:b/>
          <w:bCs/>
          <w:sz w:val="22"/>
          <w:szCs w:val="22"/>
          <w:shd w:val="clear" w:color="auto" w:fill="FFFF00"/>
        </w:rPr>
        <w:t>每學年至少</w:t>
      </w:r>
      <w:r w:rsidRPr="0017158B">
        <w:rPr>
          <w:b/>
          <w:bCs/>
          <w:color w:val="EE0000"/>
          <w:sz w:val="22"/>
          <w:szCs w:val="22"/>
          <w:shd w:val="clear" w:color="auto" w:fill="FFFF00"/>
        </w:rPr>
        <w:t>2門</w:t>
      </w:r>
    </w:p>
    <w:p w14:paraId="3661DB25" w14:textId="5B59FE17" w:rsidR="00D810F4" w:rsidRPr="0017158B" w:rsidRDefault="00000000">
      <w:pPr>
        <w:pStyle w:val="a4"/>
        <w:numPr>
          <w:ilvl w:val="0"/>
          <w:numId w:val="4"/>
        </w:numPr>
        <w:spacing w:after="80" w:line="360" w:lineRule="auto"/>
        <w:rPr>
          <w:b/>
          <w:bCs/>
        </w:rPr>
      </w:pPr>
      <w:r w:rsidRPr="0017158B">
        <w:rPr>
          <w:b/>
          <w:bCs/>
          <w:sz w:val="22"/>
          <w:szCs w:val="22"/>
        </w:rPr>
        <w:t>Hub計畫：</w:t>
      </w:r>
      <w:r w:rsidRPr="0017158B">
        <w:rPr>
          <w:b/>
          <w:bCs/>
          <w:sz w:val="22"/>
          <w:szCs w:val="22"/>
          <w:shd w:val="clear" w:color="auto" w:fill="FFFF00"/>
        </w:rPr>
        <w:t>每學年至少</w:t>
      </w:r>
      <w:r w:rsidR="0017158B" w:rsidRPr="0017158B">
        <w:rPr>
          <w:rFonts w:hint="eastAsia"/>
          <w:b/>
          <w:bCs/>
          <w:color w:val="EE0000"/>
          <w:sz w:val="22"/>
          <w:szCs w:val="22"/>
          <w:shd w:val="clear" w:color="auto" w:fill="FFFF00"/>
        </w:rPr>
        <w:t>4</w:t>
      </w:r>
      <w:r w:rsidRPr="0017158B">
        <w:rPr>
          <w:b/>
          <w:bCs/>
          <w:color w:val="EE0000"/>
          <w:sz w:val="22"/>
          <w:szCs w:val="22"/>
          <w:shd w:val="clear" w:color="auto" w:fill="FFFF00"/>
        </w:rPr>
        <w:t>門</w:t>
      </w:r>
    </w:p>
    <w:p w14:paraId="6320D8A1" w14:textId="77777777" w:rsidR="00D810F4" w:rsidRDefault="00D810F4">
      <w:pPr>
        <w:spacing w:after="40" w:line="360" w:lineRule="auto"/>
      </w:pPr>
    </w:p>
    <w:p w14:paraId="7E238F8C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陸、教師專業社群要求（Hub計畫適用）</w:t>
      </w:r>
    </w:p>
    <w:p w14:paraId="3546DFC0" w14:textId="77777777" w:rsidR="00D810F4" w:rsidRDefault="00000000">
      <w:pPr>
        <w:spacing w:after="160" w:line="360" w:lineRule="auto"/>
      </w:pPr>
      <w:r>
        <w:rPr>
          <w:color w:val="333333"/>
        </w:rPr>
        <w:t>Hub計畫須成立教師專業社群，相關規範如下：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D810F4" w14:paraId="4BCC8B5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2A62F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項目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E4652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具體要求</w:t>
            </w:r>
          </w:p>
        </w:tc>
      </w:tr>
      <w:tr w:rsidR="00D810F4" w14:paraId="219A8AB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A2A07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社群主題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B0277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自訂主題，以交流USR計畫推動經驗、增進教學知能、促進教師專業成長為宗旨。</w:t>
            </w:r>
          </w:p>
        </w:tc>
      </w:tr>
      <w:tr w:rsidR="00D810F4" w14:paraId="3151B7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85AAF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社群成員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BBAFF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跨單位或跨校教師組成，專（兼）任教師至少4人以上，鼓勵跨領域教師參與。</w:t>
            </w:r>
          </w:p>
        </w:tc>
      </w:tr>
      <w:tr w:rsidR="00D810F4" w14:paraId="44892FF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C504D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活動形式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15A7C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工作坊、讀書會、專題講座、教學實務研討、觀摩、教材研發等。</w:t>
            </w:r>
          </w:p>
        </w:tc>
      </w:tr>
      <w:tr w:rsidR="00D810F4" w14:paraId="249030C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13C24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聚會頻率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6D1A20" w14:textId="73D2589F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每月至少進行一次集會，或至少聚會</w:t>
            </w:r>
            <w:r w:rsidR="0017158B">
              <w:rPr>
                <w:rFonts w:hint="eastAsia"/>
                <w:sz w:val="22"/>
                <w:szCs w:val="22"/>
              </w:rPr>
              <w:t>四</w:t>
            </w:r>
            <w:r>
              <w:rPr>
                <w:sz w:val="22"/>
                <w:szCs w:val="22"/>
              </w:rPr>
              <w:t>次；須定期紀錄活動內容。</w:t>
            </w:r>
          </w:p>
        </w:tc>
      </w:tr>
      <w:tr w:rsidR="00D810F4" w14:paraId="536FF7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C9644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補助申請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D8339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可洽詢教務處教發中心申請教師專業社群計畫補助（8月底前隨到隨審）。</w:t>
            </w:r>
          </w:p>
        </w:tc>
      </w:tr>
    </w:tbl>
    <w:p w14:paraId="097102C7" w14:textId="77777777" w:rsidR="00D810F4" w:rsidRDefault="00D810F4">
      <w:pPr>
        <w:spacing w:after="80" w:line="360" w:lineRule="auto"/>
      </w:pPr>
    </w:p>
    <w:p w14:paraId="4F843FEB" w14:textId="77777777" w:rsidR="00D810F4" w:rsidRDefault="00000000">
      <w:pPr>
        <w:pBdr>
          <w:bottom w:val="single" w:sz="4" w:space="4" w:color="2E5E8C"/>
        </w:pBdr>
        <w:spacing w:before="360" w:after="200"/>
      </w:pPr>
      <w:proofErr w:type="gramStart"/>
      <w:r>
        <w:rPr>
          <w:b/>
          <w:bCs/>
          <w:color w:val="2E5E8C"/>
          <w:sz w:val="30"/>
          <w:szCs w:val="30"/>
        </w:rPr>
        <w:t>柒</w:t>
      </w:r>
      <w:proofErr w:type="gramEnd"/>
      <w:r>
        <w:rPr>
          <w:b/>
          <w:bCs/>
          <w:color w:val="2E5E8C"/>
          <w:sz w:val="30"/>
          <w:szCs w:val="30"/>
        </w:rPr>
        <w:t>、經費額度與規範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2194"/>
        <w:gridCol w:w="2277"/>
        <w:gridCol w:w="2277"/>
        <w:gridCol w:w="2278"/>
      </w:tblGrid>
      <w:tr w:rsidR="00D810F4" w14:paraId="07523033" w14:textId="77777777" w:rsidTr="00BA045C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4F9FB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計畫類型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6E355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經費上限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C02DB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經常門</w:t>
            </w:r>
          </w:p>
        </w:tc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65045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資本門</w:t>
            </w:r>
          </w:p>
        </w:tc>
      </w:tr>
      <w:tr w:rsidR="00D810F4" w14:paraId="5D54F76E" w14:textId="77777777" w:rsidTr="00BA045C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FD2CA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種子計畫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68D6A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b/>
                <w:bCs/>
                <w:color w:val="C0392B"/>
                <w:sz w:val="22"/>
                <w:szCs w:val="22"/>
              </w:rPr>
              <w:t>50萬元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BE311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2C88F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</w:tr>
      <w:tr w:rsidR="00D810F4" w14:paraId="4320F38B" w14:textId="77777777" w:rsidTr="00BA045C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51CDE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Hub計畫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12553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b/>
                <w:bCs/>
                <w:color w:val="C0392B"/>
                <w:sz w:val="22"/>
                <w:szCs w:val="22"/>
              </w:rPr>
              <w:t>100萬元</w:t>
            </w:r>
          </w:p>
        </w:tc>
        <w:tc>
          <w:tcPr>
            <w:tcW w:w="2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1AF3A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2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C283F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</w:tr>
      <w:tr w:rsidR="00D810F4" w14:paraId="44984BEF" w14:textId="77777777" w:rsidTr="00BA045C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</w:trPr>
        <w:tc>
          <w:tcPr>
            <w:tcW w:w="0" w:type="auto"/>
            <w:gridSpan w:val="4"/>
            <w:tcBorders>
              <w:top w:val="single" w:sz="6" w:space="0" w:color="2E5E8C"/>
              <w:left w:val="single" w:sz="6" w:space="0" w:color="2E5E8C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D6F5EE5" w14:textId="77777777" w:rsidR="00D810F4" w:rsidRPr="00BA045C" w:rsidRDefault="00000000" w:rsidP="00BA045C">
            <w:pPr>
              <w:spacing w:after="60"/>
              <w:rPr>
                <w:b/>
                <w:bCs/>
              </w:rPr>
            </w:pPr>
            <w:r w:rsidRPr="00BA045C">
              <w:rPr>
                <w:b/>
                <w:bCs/>
                <w:color w:val="333333"/>
              </w:rPr>
              <w:t>備註：最終補助額度經</w:t>
            </w:r>
            <w:proofErr w:type="gramStart"/>
            <w:r w:rsidRPr="00BA045C">
              <w:rPr>
                <w:b/>
                <w:bCs/>
                <w:color w:val="333333"/>
              </w:rPr>
              <w:t>外審評委</w:t>
            </w:r>
            <w:proofErr w:type="gramEnd"/>
            <w:r w:rsidRPr="00BA045C">
              <w:rPr>
                <w:b/>
                <w:bCs/>
                <w:color w:val="333333"/>
              </w:rPr>
              <w:t>建議後，送USR推動委員會決議核定。</w:t>
            </w:r>
          </w:p>
        </w:tc>
      </w:tr>
    </w:tbl>
    <w:p w14:paraId="21A5FA60" w14:textId="77777777" w:rsidR="00D810F4" w:rsidRDefault="00D810F4">
      <w:pPr>
        <w:spacing w:after="80" w:line="360" w:lineRule="auto"/>
      </w:pPr>
    </w:p>
    <w:p w14:paraId="7782F396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捌、提案前重點檢核清單</w:t>
      </w:r>
    </w:p>
    <w:p w14:paraId="75C7C2F7" w14:textId="77777777" w:rsidR="00D810F4" w:rsidRDefault="00000000">
      <w:pPr>
        <w:spacing w:after="160" w:line="360" w:lineRule="auto"/>
      </w:pPr>
      <w:r>
        <w:rPr>
          <w:color w:val="333333"/>
        </w:rPr>
        <w:t>請申請團隊於提案前，逐項確認以下事項：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6626"/>
      </w:tblGrid>
      <w:tr w:rsidR="00D810F4" w14:paraId="458CC6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F7924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項次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713DA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推動重點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14764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檢核項目</w:t>
            </w:r>
          </w:p>
        </w:tc>
      </w:tr>
      <w:tr w:rsidR="00D810F4" w14:paraId="0A3BC8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BC068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12CA0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徵件類型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9BD9B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符合種子計畫跨2個系所之條件，或符合Hub計畫跨3個系所之條件。</w:t>
            </w:r>
          </w:p>
        </w:tc>
      </w:tr>
      <w:tr w:rsidR="00D810F4" w14:paraId="13AED8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7D999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381BF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場域需求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55AF2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已進行場域問題盤點，</w:t>
            </w:r>
            <w:proofErr w:type="gramStart"/>
            <w:r>
              <w:rPr>
                <w:sz w:val="22"/>
                <w:szCs w:val="22"/>
              </w:rPr>
              <w:t>釐</w:t>
            </w:r>
            <w:proofErr w:type="gramEnd"/>
            <w:r>
              <w:rPr>
                <w:sz w:val="22"/>
                <w:szCs w:val="22"/>
              </w:rPr>
              <w:t>清需求，並與場域利害關係人建立共識；依據場域問題與需求，設立計畫目標、擬定具體有效之計畫執行策略。</w:t>
            </w:r>
          </w:p>
        </w:tc>
      </w:tr>
      <w:tr w:rsidR="00D810F4" w14:paraId="0665D7F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82187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AF781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課程規劃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60A4D" w14:textId="5606E4E9" w:rsidR="00D810F4" w:rsidRDefault="00000000" w:rsidP="00BA045C">
            <w:pPr>
              <w:spacing w:line="320" w:lineRule="auto"/>
            </w:pPr>
            <w:r>
              <w:rPr>
                <w:sz w:val="22"/>
                <w:szCs w:val="22"/>
              </w:rPr>
              <w:t>以「人才培育」為主軸，開設正式專業實踐課程；確認實踐課程是否呼應場域問題與計畫目標。</w:t>
            </w:r>
            <w:r w:rsidR="00BA045C" w:rsidRPr="00BA045C">
              <w:rPr>
                <w:sz w:val="22"/>
                <w:szCs w:val="22"/>
              </w:rPr>
              <w:tab/>
              <w:t>種子計畫：每學年至少2門</w:t>
            </w:r>
            <w:r w:rsidR="00BA045C">
              <w:rPr>
                <w:rFonts w:hint="eastAsia"/>
                <w:sz w:val="22"/>
                <w:szCs w:val="22"/>
              </w:rPr>
              <w:t>；</w:t>
            </w:r>
            <w:r w:rsidR="00BA045C" w:rsidRPr="00BA045C">
              <w:rPr>
                <w:sz w:val="22"/>
                <w:szCs w:val="22"/>
              </w:rPr>
              <w:tab/>
              <w:t>Hub計畫：每學年至少4門</w:t>
            </w:r>
            <w:r w:rsidR="00BA045C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D810F4" w14:paraId="2F72DFB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A9D63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48819" w14:textId="77777777" w:rsidR="00D810F4" w:rsidRDefault="00000000">
            <w:pPr>
              <w:spacing w:line="320" w:lineRule="auto"/>
            </w:pPr>
            <w:r>
              <w:rPr>
                <w:b/>
                <w:bCs/>
                <w:sz w:val="22"/>
                <w:szCs w:val="22"/>
              </w:rPr>
              <w:t>教師社群 （Hub計畫）</w:t>
            </w:r>
          </w:p>
        </w:tc>
        <w:tc>
          <w:tcPr>
            <w:tcW w:w="6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61C92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已規劃成立教師專業社群，符合成員人數、聚會頻率等要求。</w:t>
            </w:r>
          </w:p>
        </w:tc>
      </w:tr>
    </w:tbl>
    <w:p w14:paraId="64FC23D3" w14:textId="77777777" w:rsidR="00D810F4" w:rsidRDefault="00D810F4">
      <w:pPr>
        <w:spacing w:after="80" w:line="360" w:lineRule="auto"/>
      </w:pPr>
    </w:p>
    <w:p w14:paraId="37F73B08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玖、申請時程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810F4" w14:paraId="13DDD84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07288" w14:textId="77777777" w:rsidR="00D810F4" w:rsidRDefault="00000000" w:rsidP="0069345E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時間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68FF8" w14:textId="77777777" w:rsidR="00D810F4" w:rsidRDefault="00000000" w:rsidP="0069345E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事項</w:t>
            </w:r>
          </w:p>
        </w:tc>
      </w:tr>
      <w:tr w:rsidR="00D810F4" w14:paraId="1AA5D2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F5564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b/>
                <w:bCs/>
                <w:color w:val="C0392B"/>
                <w:sz w:val="22"/>
                <w:szCs w:val="22"/>
              </w:rPr>
              <w:t>115年4月30日前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BC29E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USR計畫申請書收件截止</w:t>
            </w:r>
          </w:p>
        </w:tc>
      </w:tr>
      <w:tr w:rsidR="00D810F4" w14:paraId="66F2BB7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B8366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115年5月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CDCE3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召開委員會議，核定計畫</w:t>
            </w:r>
          </w:p>
        </w:tc>
      </w:tr>
      <w:tr w:rsidR="00D810F4" w14:paraId="603C16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EBD9E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核定後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D13C5" w14:textId="77777777" w:rsidR="00D810F4" w:rsidRDefault="00000000" w:rsidP="0069345E">
            <w:pPr>
              <w:spacing w:line="320" w:lineRule="auto"/>
              <w:jc w:val="center"/>
            </w:pPr>
            <w:r>
              <w:rPr>
                <w:sz w:val="22"/>
                <w:szCs w:val="22"/>
              </w:rPr>
              <w:t>通過計畫開始執行</w:t>
            </w:r>
          </w:p>
        </w:tc>
      </w:tr>
    </w:tbl>
    <w:p w14:paraId="7C4A4750" w14:textId="77777777" w:rsidR="00D810F4" w:rsidRDefault="00D810F4">
      <w:pPr>
        <w:spacing w:after="80" w:line="360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810F4" w14:paraId="0E618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2E5E8C"/>
              <w:left w:val="single" w:sz="6" w:space="0" w:color="2E5E8C"/>
            </w:tcBorders>
            <w:shd w:val="clear" w:color="auto" w:fill="D5E8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9EC7BD" w14:textId="77777777" w:rsidR="00D810F4" w:rsidRDefault="00000000">
            <w:pPr>
              <w:spacing w:after="60" w:line="360" w:lineRule="auto"/>
            </w:pPr>
            <w:r>
              <w:rPr>
                <w:color w:val="333333"/>
              </w:rPr>
              <w:t>計畫申請書請至USR資訊平台「最新消息」下載：https://usr.nchu.edu.tw/</w:t>
            </w:r>
          </w:p>
        </w:tc>
      </w:tr>
    </w:tbl>
    <w:p w14:paraId="4F291907" w14:textId="77777777" w:rsidR="00D810F4" w:rsidRDefault="00D810F4">
      <w:pPr>
        <w:spacing w:after="80" w:line="360" w:lineRule="auto"/>
      </w:pPr>
    </w:p>
    <w:p w14:paraId="76B21382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拾、校方支持措施與資源</w:t>
      </w:r>
    </w:p>
    <w:p w14:paraId="28A346A2" w14:textId="77777777" w:rsidR="00D810F4" w:rsidRDefault="00000000">
      <w:pPr>
        <w:spacing w:after="160" w:line="360" w:lineRule="auto"/>
      </w:pPr>
      <w:r>
        <w:rPr>
          <w:color w:val="333333"/>
        </w:rPr>
        <w:t>本校針對USR計畫團隊提供多面向之支持，協助團隊順利推動計畫：</w:t>
      </w:r>
    </w:p>
    <w:p w14:paraId="1AD9779E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（一）策略與行政支持</w:t>
      </w:r>
    </w:p>
    <w:p w14:paraId="23CE95CF" w14:textId="77777777" w:rsidR="00D810F4" w:rsidRDefault="00000000">
      <w:pPr>
        <w:spacing w:after="160" w:line="360" w:lineRule="auto"/>
      </w:pPr>
      <w:r>
        <w:rPr>
          <w:color w:val="333333"/>
        </w:rPr>
        <w:t>由永續發展委員會及USR推動委員會</w:t>
      </w:r>
      <w:proofErr w:type="gramStart"/>
      <w:r>
        <w:rPr>
          <w:color w:val="333333"/>
        </w:rPr>
        <w:t>（</w:t>
      </w:r>
      <w:proofErr w:type="gramEnd"/>
      <w:r>
        <w:rPr>
          <w:color w:val="333333"/>
        </w:rPr>
        <w:t>召集人：詹富智校長</w:t>
      </w:r>
      <w:proofErr w:type="gramStart"/>
      <w:r>
        <w:rPr>
          <w:color w:val="333333"/>
        </w:rPr>
        <w:t>）</w:t>
      </w:r>
      <w:proofErr w:type="gramEnd"/>
      <w:r>
        <w:rPr>
          <w:color w:val="333333"/>
        </w:rPr>
        <w:t>統籌制定USR整體策略與目標，負責計畫審核與經費分配。</w:t>
      </w:r>
    </w:p>
    <w:p w14:paraId="4755DC86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（二）培育機制</w:t>
      </w:r>
    </w:p>
    <w:p w14:paraId="43F9CE9B" w14:textId="77777777" w:rsidR="00D810F4" w:rsidRDefault="00000000">
      <w:pPr>
        <w:spacing w:after="160" w:line="360" w:lineRule="auto"/>
      </w:pPr>
      <w:r>
        <w:rPr>
          <w:color w:val="333333"/>
        </w:rPr>
        <w:t>包含校內USR計畫徵件（計畫分級、經費補助、個案整合）、專家個別輔導（個案輔導、計畫健檢、跨領域媒合）、專題演講與培力工作坊，以及競賽獎勵與補助（USR服務優良獎項、校外競賽補助）。</w:t>
      </w:r>
    </w:p>
    <w:p w14:paraId="6177E68D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（三）各處室支援</w:t>
      </w:r>
    </w:p>
    <w:p w14:paraId="4FD48BAF" w14:textId="77777777" w:rsidR="00D810F4" w:rsidRDefault="00000000">
      <w:pPr>
        <w:spacing w:after="160" w:line="360" w:lineRule="auto"/>
      </w:pPr>
      <w:r>
        <w:rPr>
          <w:color w:val="333333"/>
        </w:rPr>
        <w:t>教務處提供課程發展支持（通識課程、學分學程、教師社群）；人事室提供激勵制度支持（服務績優教師、服務彈薪、減授鐘點、升等評鑑）；國際處整合國際志工與媒合姊妹校；研發處提供校務分析支持；校友中心協助外部捐款。</w:t>
      </w:r>
    </w:p>
    <w:p w14:paraId="27FF97F6" w14:textId="77777777" w:rsidR="00D810F4" w:rsidRDefault="00000000">
      <w:pPr>
        <w:spacing w:before="240" w:after="120"/>
      </w:pPr>
      <w:r>
        <w:rPr>
          <w:b/>
          <w:bCs/>
          <w:color w:val="333333"/>
          <w:sz w:val="26"/>
          <w:szCs w:val="26"/>
        </w:rPr>
        <w:t>（四）成效評估</w:t>
      </w:r>
    </w:p>
    <w:p w14:paraId="1375749D" w14:textId="77777777" w:rsidR="00D810F4" w:rsidRDefault="00000000">
      <w:pPr>
        <w:spacing w:after="160" w:line="360" w:lineRule="auto"/>
      </w:pPr>
      <w:r>
        <w:rPr>
          <w:color w:val="333333"/>
        </w:rPr>
        <w:t>建立「興社會實踐與影響力評估系統」，進行學期成果資料蒐集、中長期成效評估報告，並回饋至校務中長程發展計畫。</w:t>
      </w:r>
    </w:p>
    <w:p w14:paraId="1C076003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lastRenderedPageBreak/>
        <w:t>拾壹、USR辦公室協助事項</w:t>
      </w:r>
    </w:p>
    <w:p w14:paraId="61FB16AC" w14:textId="77777777" w:rsidR="00D810F4" w:rsidRDefault="00000000">
      <w:pPr>
        <w:spacing w:after="160" w:line="360" w:lineRule="auto"/>
      </w:pPr>
      <w:r>
        <w:rPr>
          <w:color w:val="333333"/>
        </w:rPr>
        <w:t>USR辦公室可提供以下支援：</w:t>
      </w:r>
    </w:p>
    <w:p w14:paraId="78A1BE8A" w14:textId="77777777" w:rsidR="00D810F4" w:rsidRDefault="00000000">
      <w:pPr>
        <w:pStyle w:val="a4"/>
        <w:numPr>
          <w:ilvl w:val="0"/>
          <w:numId w:val="5"/>
        </w:numPr>
        <w:spacing w:after="80" w:line="360" w:lineRule="auto"/>
      </w:pPr>
      <w:r>
        <w:rPr>
          <w:b/>
          <w:bCs/>
          <w:sz w:val="22"/>
          <w:szCs w:val="22"/>
        </w:rPr>
        <w:t>社群交流平台：</w:t>
      </w:r>
      <w:r>
        <w:rPr>
          <w:sz w:val="22"/>
          <w:szCs w:val="22"/>
        </w:rPr>
        <w:t>USR資訊平台</w:t>
      </w:r>
      <w:proofErr w:type="gramStart"/>
      <w:r>
        <w:rPr>
          <w:sz w:val="22"/>
          <w:szCs w:val="22"/>
        </w:rPr>
        <w:t>（</w:t>
      </w:r>
      <w:proofErr w:type="gramEnd"/>
      <w:r>
        <w:rPr>
          <w:sz w:val="22"/>
          <w:szCs w:val="22"/>
        </w:rPr>
        <w:t>https://usr.nchu.edu.tw/</w:t>
      </w:r>
      <w:proofErr w:type="gramStart"/>
      <w:r>
        <w:rPr>
          <w:sz w:val="22"/>
          <w:szCs w:val="22"/>
        </w:rPr>
        <w:t>）</w:t>
      </w:r>
      <w:proofErr w:type="gramEnd"/>
      <w:r>
        <w:rPr>
          <w:sz w:val="22"/>
          <w:szCs w:val="22"/>
        </w:rPr>
        <w:t>及Facebook粉絲團「興大興責任 USR為鄰為善」</w:t>
      </w:r>
      <w:proofErr w:type="gramStart"/>
      <w:r>
        <w:rPr>
          <w:sz w:val="22"/>
          <w:szCs w:val="22"/>
        </w:rPr>
        <w:t>（</w:t>
      </w:r>
      <w:proofErr w:type="gramEnd"/>
      <w:r>
        <w:rPr>
          <w:sz w:val="22"/>
          <w:szCs w:val="22"/>
        </w:rPr>
        <w:t>https://www.facebook.com/USRNCHU</w:t>
      </w:r>
      <w:proofErr w:type="gramStart"/>
      <w:r>
        <w:rPr>
          <w:sz w:val="22"/>
          <w:szCs w:val="22"/>
        </w:rPr>
        <w:t>）</w:t>
      </w:r>
      <w:proofErr w:type="gramEnd"/>
      <w:r>
        <w:rPr>
          <w:sz w:val="22"/>
          <w:szCs w:val="22"/>
        </w:rPr>
        <w:t>。</w:t>
      </w:r>
    </w:p>
    <w:p w14:paraId="7017B036" w14:textId="77777777" w:rsidR="00D810F4" w:rsidRDefault="00000000">
      <w:pPr>
        <w:pStyle w:val="a4"/>
        <w:numPr>
          <w:ilvl w:val="0"/>
          <w:numId w:val="5"/>
        </w:numPr>
        <w:spacing w:after="80" w:line="360" w:lineRule="auto"/>
      </w:pPr>
      <w:r>
        <w:rPr>
          <w:b/>
          <w:bCs/>
          <w:sz w:val="22"/>
          <w:szCs w:val="22"/>
        </w:rPr>
        <w:t>活動宣傳與新聞發布：</w:t>
      </w:r>
      <w:r>
        <w:rPr>
          <w:sz w:val="22"/>
          <w:szCs w:val="22"/>
        </w:rPr>
        <w:t>重要新聞發佈、活動資訊公布及影片上架需求，請將相關資訊寄至 usroffice@nchu.edu.tw。</w:t>
      </w:r>
    </w:p>
    <w:p w14:paraId="57D00007" w14:textId="77777777" w:rsidR="00D810F4" w:rsidRDefault="00000000">
      <w:pPr>
        <w:pStyle w:val="a4"/>
        <w:numPr>
          <w:ilvl w:val="0"/>
          <w:numId w:val="5"/>
        </w:numPr>
        <w:spacing w:after="80" w:line="360" w:lineRule="auto"/>
      </w:pPr>
      <w:r>
        <w:rPr>
          <w:b/>
          <w:bCs/>
          <w:sz w:val="22"/>
          <w:szCs w:val="22"/>
        </w:rPr>
        <w:t>活動用設備與物資支援：</w:t>
      </w:r>
      <w:r>
        <w:rPr>
          <w:sz w:val="22"/>
          <w:szCs w:val="22"/>
        </w:rPr>
        <w:t>活動用</w:t>
      </w:r>
      <w:proofErr w:type="gramStart"/>
      <w:r>
        <w:rPr>
          <w:sz w:val="22"/>
          <w:szCs w:val="22"/>
        </w:rPr>
        <w:t>手拿板</w:t>
      </w:r>
      <w:proofErr w:type="gramEnd"/>
      <w:r>
        <w:rPr>
          <w:sz w:val="22"/>
          <w:szCs w:val="22"/>
        </w:rPr>
        <w:t>、USR活動布條、活動背心、小蜜蜂、行動音箱、活動小禮品等。</w:t>
      </w:r>
    </w:p>
    <w:p w14:paraId="619DE27C" w14:textId="77777777" w:rsidR="00D810F4" w:rsidRDefault="00000000">
      <w:pPr>
        <w:pStyle w:val="a4"/>
        <w:numPr>
          <w:ilvl w:val="0"/>
          <w:numId w:val="5"/>
        </w:numPr>
        <w:spacing w:after="80" w:line="360" w:lineRule="auto"/>
      </w:pPr>
      <w:r>
        <w:rPr>
          <w:b/>
          <w:bCs/>
          <w:sz w:val="22"/>
          <w:szCs w:val="22"/>
        </w:rPr>
        <w:t>教育部USR推動中心資源：</w:t>
      </w:r>
      <w:r>
        <w:rPr>
          <w:sz w:val="22"/>
          <w:szCs w:val="22"/>
        </w:rPr>
        <w:t>https://usr.moe.gov.tw/tw（含全國大專校院USR計畫、電子刊物、培力專區、USR博覽會等）。</w:t>
      </w:r>
    </w:p>
    <w:p w14:paraId="01069601" w14:textId="77777777" w:rsidR="00D810F4" w:rsidRDefault="00D810F4">
      <w:pPr>
        <w:spacing w:after="80" w:line="360" w:lineRule="auto"/>
      </w:pPr>
    </w:p>
    <w:p w14:paraId="74B54780" w14:textId="77777777" w:rsidR="00D810F4" w:rsidRDefault="00000000">
      <w:pPr>
        <w:pBdr>
          <w:bottom w:val="single" w:sz="4" w:space="4" w:color="2E5E8C"/>
        </w:pBdr>
        <w:spacing w:before="360" w:after="200"/>
      </w:pPr>
      <w:r>
        <w:rPr>
          <w:b/>
          <w:bCs/>
          <w:color w:val="2E5E8C"/>
          <w:sz w:val="30"/>
          <w:szCs w:val="30"/>
        </w:rPr>
        <w:t>拾貳、</w:t>
      </w:r>
      <w:proofErr w:type="gramStart"/>
      <w:r>
        <w:rPr>
          <w:b/>
          <w:bCs/>
          <w:color w:val="2E5E8C"/>
          <w:sz w:val="30"/>
          <w:szCs w:val="30"/>
        </w:rPr>
        <w:t>115</w:t>
      </w:r>
      <w:proofErr w:type="gramEnd"/>
      <w:r>
        <w:rPr>
          <w:b/>
          <w:bCs/>
          <w:color w:val="2E5E8C"/>
          <w:sz w:val="30"/>
          <w:szCs w:val="30"/>
        </w:rPr>
        <w:t>年度預定辦理事項</w:t>
      </w:r>
    </w:p>
    <w:p w14:paraId="698500F8" w14:textId="77777777" w:rsidR="00D810F4" w:rsidRDefault="00000000">
      <w:pPr>
        <w:spacing w:after="160" w:line="360" w:lineRule="auto"/>
      </w:pPr>
      <w:r>
        <w:rPr>
          <w:color w:val="333333"/>
        </w:rPr>
        <w:t>本年度校方預定辦理之計畫輔導相關事項包括：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7"/>
        <w:gridCol w:w="2257"/>
        <w:gridCol w:w="2256"/>
      </w:tblGrid>
      <w:tr w:rsidR="00D810F4" w14:paraId="0CB31945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31F0F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計畫輔導</w:t>
            </w:r>
          </w:p>
        </w:tc>
        <w:tc>
          <w:tcPr>
            <w:tcW w:w="22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B4AAD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教師專業社群</w:t>
            </w:r>
          </w:p>
        </w:tc>
        <w:tc>
          <w:tcPr>
            <w:tcW w:w="22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CD2F3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專題演講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570BF" w14:textId="77777777" w:rsidR="00D810F4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專家個別輔導</w:t>
            </w:r>
          </w:p>
        </w:tc>
      </w:tr>
      <w:tr w:rsidR="00D810F4" w14:paraId="33D60CA2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D234A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聚焦推動重點，提供執行策略建議</w:t>
            </w:r>
          </w:p>
        </w:tc>
        <w:tc>
          <w:tcPr>
            <w:tcW w:w="22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FA2B4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協助成立教師專業社群，</w:t>
            </w:r>
            <w:proofErr w:type="gramStart"/>
            <w:r>
              <w:rPr>
                <w:sz w:val="22"/>
                <w:szCs w:val="22"/>
              </w:rPr>
              <w:t>促進跨域交流</w:t>
            </w:r>
            <w:proofErr w:type="gramEnd"/>
          </w:p>
        </w:tc>
        <w:tc>
          <w:tcPr>
            <w:tcW w:w="22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319E8C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辦理USR相關專題演講，增進知能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C1B74" w14:textId="77777777" w:rsidR="00D810F4" w:rsidRDefault="00000000">
            <w:pPr>
              <w:spacing w:line="320" w:lineRule="auto"/>
            </w:pPr>
            <w:r>
              <w:rPr>
                <w:sz w:val="22"/>
                <w:szCs w:val="22"/>
              </w:rPr>
              <w:t>外聘專家提供個別輔導，精</w:t>
            </w:r>
            <w:proofErr w:type="gramStart"/>
            <w:r>
              <w:rPr>
                <w:sz w:val="22"/>
                <w:szCs w:val="22"/>
              </w:rPr>
              <w:t>準</w:t>
            </w:r>
            <w:proofErr w:type="gramEnd"/>
            <w:r>
              <w:rPr>
                <w:sz w:val="22"/>
                <w:szCs w:val="22"/>
              </w:rPr>
              <w:t>提升計畫品質</w:t>
            </w:r>
          </w:p>
        </w:tc>
      </w:tr>
    </w:tbl>
    <w:p w14:paraId="35AF6504" w14:textId="77777777" w:rsidR="00D810F4" w:rsidRDefault="00D810F4">
      <w:pPr>
        <w:spacing w:after="200" w:line="360" w:lineRule="auto"/>
      </w:pPr>
    </w:p>
    <w:p w14:paraId="24C30CD7" w14:textId="77777777" w:rsidR="00D810F4" w:rsidRPr="00BA045C" w:rsidRDefault="00000000">
      <w:pPr>
        <w:pBdr>
          <w:top w:val="single" w:sz="2" w:space="12" w:color="2E5E8C"/>
        </w:pBdr>
        <w:spacing w:before="400"/>
        <w:jc w:val="center"/>
        <w:rPr>
          <w:rFonts w:ascii="Times New Roman" w:hAnsi="Times New Roman" w:cs="Times New Roman"/>
          <w:b/>
          <w:bCs/>
          <w:color w:val="2E5E8C"/>
        </w:rPr>
      </w:pPr>
      <w:r w:rsidRPr="00BA045C">
        <w:rPr>
          <w:rFonts w:ascii="Times New Roman" w:hAnsi="Times New Roman" w:cs="Times New Roman"/>
          <w:b/>
          <w:bCs/>
          <w:color w:val="2E5E8C"/>
        </w:rPr>
        <w:t>如有任何疑問，敬請聯繫</w:t>
      </w:r>
      <w:r w:rsidRPr="00BA045C">
        <w:rPr>
          <w:rFonts w:ascii="Times New Roman" w:hAnsi="Times New Roman" w:cs="Times New Roman"/>
          <w:b/>
          <w:bCs/>
          <w:color w:val="2E5E8C"/>
        </w:rPr>
        <w:t>USR</w:t>
      </w:r>
      <w:r w:rsidRPr="00BA045C">
        <w:rPr>
          <w:rFonts w:ascii="Times New Roman" w:hAnsi="Times New Roman" w:cs="Times New Roman"/>
          <w:b/>
          <w:bCs/>
          <w:color w:val="2E5E8C"/>
        </w:rPr>
        <w:t>辦公室</w:t>
      </w:r>
    </w:p>
    <w:p w14:paraId="4F320B85" w14:textId="66B0D68B" w:rsidR="00BA045C" w:rsidRPr="00BA045C" w:rsidRDefault="00BA045C">
      <w:pPr>
        <w:pBdr>
          <w:top w:val="single" w:sz="2" w:space="12" w:color="2E5E8C"/>
        </w:pBdr>
        <w:spacing w:before="400"/>
        <w:jc w:val="center"/>
        <w:rPr>
          <w:rFonts w:ascii="Times New Roman" w:hAnsi="Times New Roman" w:cs="Times New Roman"/>
          <w:b/>
          <w:bCs/>
        </w:rPr>
      </w:pPr>
      <w:r w:rsidRPr="00BA045C">
        <w:rPr>
          <w:rFonts w:ascii="Times New Roman" w:hAnsi="Times New Roman" w:cs="Times New Roman"/>
          <w:b/>
          <w:bCs/>
          <w:color w:val="2E5E8C"/>
        </w:rPr>
        <w:t>電話：</w:t>
      </w:r>
      <w:r w:rsidRPr="00BA045C">
        <w:rPr>
          <w:rFonts w:ascii="Times New Roman" w:hAnsi="Times New Roman" w:cs="Times New Roman"/>
          <w:b/>
          <w:bCs/>
          <w:color w:val="2E5E8C"/>
        </w:rPr>
        <w:t>04-22840125</w:t>
      </w:r>
    </w:p>
    <w:p w14:paraId="69D06B65" w14:textId="77777777" w:rsidR="00D810F4" w:rsidRPr="00BA045C" w:rsidRDefault="00000000">
      <w:pPr>
        <w:jc w:val="center"/>
        <w:rPr>
          <w:rFonts w:ascii="Times New Roman" w:hAnsi="Times New Roman" w:cs="Times New Roman"/>
          <w:b/>
          <w:bCs/>
        </w:rPr>
      </w:pPr>
      <w:r w:rsidRPr="00BA045C">
        <w:rPr>
          <w:rFonts w:ascii="Times New Roman" w:hAnsi="Times New Roman" w:cs="Times New Roman"/>
          <w:b/>
          <w:bCs/>
          <w:color w:val="2E5E8C"/>
        </w:rPr>
        <w:lastRenderedPageBreak/>
        <w:t>Email</w:t>
      </w:r>
      <w:r w:rsidRPr="00BA045C">
        <w:rPr>
          <w:rFonts w:ascii="Times New Roman" w:hAnsi="Times New Roman" w:cs="Times New Roman"/>
          <w:b/>
          <w:bCs/>
          <w:color w:val="2E5E8C"/>
        </w:rPr>
        <w:t>：</w:t>
      </w:r>
      <w:r w:rsidRPr="00BA045C">
        <w:rPr>
          <w:rFonts w:ascii="Times New Roman" w:hAnsi="Times New Roman" w:cs="Times New Roman"/>
          <w:b/>
          <w:bCs/>
          <w:color w:val="2E5E8C"/>
        </w:rPr>
        <w:t>usroffice@nchu.edu.tw</w:t>
      </w:r>
    </w:p>
    <w:sectPr w:rsidR="00D810F4" w:rsidRPr="00BA045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0F35" w14:textId="77777777" w:rsidR="00FC3FF7" w:rsidRDefault="00FC3FF7">
      <w:r>
        <w:separator/>
      </w:r>
    </w:p>
  </w:endnote>
  <w:endnote w:type="continuationSeparator" w:id="0">
    <w:p w14:paraId="69D356FC" w14:textId="77777777" w:rsidR="00FC3FF7" w:rsidRDefault="00FC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F2C5" w14:textId="77777777" w:rsidR="0017158B" w:rsidRDefault="0017158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9C82" w14:textId="77777777" w:rsidR="0017158B" w:rsidRDefault="0017158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8334" w14:textId="77777777" w:rsidR="0017158B" w:rsidRDefault="0017158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7629" w14:textId="77777777" w:rsidR="00D810F4" w:rsidRDefault="00000000">
    <w:pPr>
      <w:pBdr>
        <w:top w:val="single" w:sz="1" w:space="4" w:color="CCCCCC"/>
      </w:pBdr>
      <w:jc w:val="center"/>
    </w:pPr>
    <w:r>
      <w:rPr>
        <w:color w:val="999999"/>
        <w:sz w:val="18"/>
        <w:szCs w:val="18"/>
      </w:rPr>
      <w:t xml:space="preserve">第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>
      <w:rPr>
        <w:color w:val="999999"/>
        <w:sz w:val="18"/>
        <w:szCs w:val="18"/>
      </w:rPr>
      <w:fldChar w:fldCharType="separate"/>
    </w:r>
    <w:r w:rsidR="0017158B">
      <w:rPr>
        <w:noProof/>
        <w:color w:val="999999"/>
        <w:sz w:val="18"/>
        <w:szCs w:val="18"/>
      </w:rPr>
      <w:t>2</w:t>
    </w:r>
    <w:r>
      <w:rPr>
        <w:color w:val="999999"/>
        <w:sz w:val="18"/>
        <w:szCs w:val="18"/>
      </w:rPr>
      <w:fldChar w:fldCharType="end"/>
    </w:r>
    <w:r>
      <w:rPr>
        <w:color w:val="999999"/>
        <w:sz w:val="18"/>
        <w:szCs w:val="18"/>
      </w:rPr>
      <w:t xml:space="preserve"> </w:t>
    </w:r>
    <w:r>
      <w:rPr>
        <w:color w:val="999999"/>
        <w:sz w:val="18"/>
        <w:szCs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D922" w14:textId="77777777" w:rsidR="00FC3FF7" w:rsidRDefault="00FC3FF7">
      <w:r>
        <w:separator/>
      </w:r>
    </w:p>
  </w:footnote>
  <w:footnote w:type="continuationSeparator" w:id="0">
    <w:p w14:paraId="59A16E35" w14:textId="77777777" w:rsidR="00FC3FF7" w:rsidRDefault="00FC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49A0" w14:textId="77777777" w:rsidR="0017158B" w:rsidRDefault="001715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DEF0" w14:textId="77777777" w:rsidR="0017158B" w:rsidRDefault="0017158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FD1F" w14:textId="77777777" w:rsidR="0017158B" w:rsidRDefault="0017158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5DB3" w14:textId="55FF13CB" w:rsidR="00D810F4" w:rsidRDefault="00000000">
    <w:pPr>
      <w:pBdr>
        <w:bottom w:val="single" w:sz="2" w:space="4" w:color="2E5E8C"/>
      </w:pBdr>
      <w:rPr>
        <w:rFonts w:hint="eastAsia"/>
      </w:rPr>
    </w:pPr>
    <w:r>
      <w:rPr>
        <w:color w:val="2E5E8C"/>
        <w:sz w:val="18"/>
        <w:szCs w:val="18"/>
      </w:rPr>
      <w:t>國立中興大學 115年USR計畫校內徵件說明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D57"/>
    <w:multiLevelType w:val="hybridMultilevel"/>
    <w:tmpl w:val="31923A1A"/>
    <w:lvl w:ilvl="0" w:tplc="8ABCE570">
      <w:start w:val="1"/>
      <w:numFmt w:val="decimal"/>
      <w:lvlText w:val="%1."/>
      <w:lvlJc w:val="left"/>
      <w:pPr>
        <w:ind w:left="720" w:hanging="360"/>
      </w:pPr>
    </w:lvl>
    <w:lvl w:ilvl="1" w:tplc="B6A0CA40">
      <w:numFmt w:val="decimal"/>
      <w:lvlText w:val=""/>
      <w:lvlJc w:val="left"/>
    </w:lvl>
    <w:lvl w:ilvl="2" w:tplc="ABA0939E">
      <w:numFmt w:val="decimal"/>
      <w:lvlText w:val=""/>
      <w:lvlJc w:val="left"/>
    </w:lvl>
    <w:lvl w:ilvl="3" w:tplc="C0C61BF2">
      <w:numFmt w:val="decimal"/>
      <w:lvlText w:val=""/>
      <w:lvlJc w:val="left"/>
    </w:lvl>
    <w:lvl w:ilvl="4" w:tplc="7B0C0458">
      <w:numFmt w:val="decimal"/>
      <w:lvlText w:val=""/>
      <w:lvlJc w:val="left"/>
    </w:lvl>
    <w:lvl w:ilvl="5" w:tplc="1B3AE158">
      <w:numFmt w:val="decimal"/>
      <w:lvlText w:val=""/>
      <w:lvlJc w:val="left"/>
    </w:lvl>
    <w:lvl w:ilvl="6" w:tplc="6D28EF12">
      <w:numFmt w:val="decimal"/>
      <w:lvlText w:val=""/>
      <w:lvlJc w:val="left"/>
    </w:lvl>
    <w:lvl w:ilvl="7" w:tplc="41B04CEC">
      <w:numFmt w:val="decimal"/>
      <w:lvlText w:val=""/>
      <w:lvlJc w:val="left"/>
    </w:lvl>
    <w:lvl w:ilvl="8" w:tplc="7EBC7DF8">
      <w:numFmt w:val="decimal"/>
      <w:lvlText w:val=""/>
      <w:lvlJc w:val="left"/>
    </w:lvl>
  </w:abstractNum>
  <w:abstractNum w:abstractNumId="1" w15:restartNumberingAfterBreak="0">
    <w:nsid w:val="261640EA"/>
    <w:multiLevelType w:val="hybridMultilevel"/>
    <w:tmpl w:val="1E12FDC4"/>
    <w:lvl w:ilvl="0" w:tplc="1704587C">
      <w:start w:val="1"/>
      <w:numFmt w:val="decimal"/>
      <w:lvlText w:val="%1."/>
      <w:lvlJc w:val="left"/>
      <w:pPr>
        <w:ind w:left="720" w:hanging="360"/>
      </w:pPr>
    </w:lvl>
    <w:lvl w:ilvl="1" w:tplc="26D63BBA">
      <w:numFmt w:val="decimal"/>
      <w:lvlText w:val=""/>
      <w:lvlJc w:val="left"/>
    </w:lvl>
    <w:lvl w:ilvl="2" w:tplc="CC6CFFB6">
      <w:numFmt w:val="decimal"/>
      <w:lvlText w:val=""/>
      <w:lvlJc w:val="left"/>
    </w:lvl>
    <w:lvl w:ilvl="3" w:tplc="AD70480C">
      <w:numFmt w:val="decimal"/>
      <w:lvlText w:val=""/>
      <w:lvlJc w:val="left"/>
    </w:lvl>
    <w:lvl w:ilvl="4" w:tplc="4C82753C">
      <w:numFmt w:val="decimal"/>
      <w:lvlText w:val=""/>
      <w:lvlJc w:val="left"/>
    </w:lvl>
    <w:lvl w:ilvl="5" w:tplc="FDF68940">
      <w:numFmt w:val="decimal"/>
      <w:lvlText w:val=""/>
      <w:lvlJc w:val="left"/>
    </w:lvl>
    <w:lvl w:ilvl="6" w:tplc="D0B0AE38">
      <w:numFmt w:val="decimal"/>
      <w:lvlText w:val=""/>
      <w:lvlJc w:val="left"/>
    </w:lvl>
    <w:lvl w:ilvl="7" w:tplc="36B0631A">
      <w:numFmt w:val="decimal"/>
      <w:lvlText w:val=""/>
      <w:lvlJc w:val="left"/>
    </w:lvl>
    <w:lvl w:ilvl="8" w:tplc="48821CB2">
      <w:numFmt w:val="decimal"/>
      <w:lvlText w:val=""/>
      <w:lvlJc w:val="left"/>
    </w:lvl>
  </w:abstractNum>
  <w:abstractNum w:abstractNumId="2" w15:restartNumberingAfterBreak="0">
    <w:nsid w:val="33D10AC6"/>
    <w:multiLevelType w:val="hybridMultilevel"/>
    <w:tmpl w:val="EE34D292"/>
    <w:lvl w:ilvl="0" w:tplc="C72438BC">
      <w:start w:val="1"/>
      <w:numFmt w:val="bullet"/>
      <w:lvlText w:val="✓"/>
      <w:lvlJc w:val="left"/>
      <w:pPr>
        <w:ind w:left="720" w:hanging="360"/>
      </w:pPr>
    </w:lvl>
    <w:lvl w:ilvl="1" w:tplc="1374B07C">
      <w:numFmt w:val="decimal"/>
      <w:lvlText w:val=""/>
      <w:lvlJc w:val="left"/>
    </w:lvl>
    <w:lvl w:ilvl="2" w:tplc="38884D02">
      <w:numFmt w:val="decimal"/>
      <w:lvlText w:val=""/>
      <w:lvlJc w:val="left"/>
    </w:lvl>
    <w:lvl w:ilvl="3" w:tplc="A300C4E8">
      <w:numFmt w:val="decimal"/>
      <w:lvlText w:val=""/>
      <w:lvlJc w:val="left"/>
    </w:lvl>
    <w:lvl w:ilvl="4" w:tplc="B4687D7A">
      <w:numFmt w:val="decimal"/>
      <w:lvlText w:val=""/>
      <w:lvlJc w:val="left"/>
    </w:lvl>
    <w:lvl w:ilvl="5" w:tplc="542CAE98">
      <w:numFmt w:val="decimal"/>
      <w:lvlText w:val=""/>
      <w:lvlJc w:val="left"/>
    </w:lvl>
    <w:lvl w:ilvl="6" w:tplc="A0CAE952">
      <w:numFmt w:val="decimal"/>
      <w:lvlText w:val=""/>
      <w:lvlJc w:val="left"/>
    </w:lvl>
    <w:lvl w:ilvl="7" w:tplc="A87E5480">
      <w:numFmt w:val="decimal"/>
      <w:lvlText w:val=""/>
      <w:lvlJc w:val="left"/>
    </w:lvl>
    <w:lvl w:ilvl="8" w:tplc="4B6CE46A">
      <w:numFmt w:val="decimal"/>
      <w:lvlText w:val=""/>
      <w:lvlJc w:val="left"/>
    </w:lvl>
  </w:abstractNum>
  <w:abstractNum w:abstractNumId="3" w15:restartNumberingAfterBreak="0">
    <w:nsid w:val="354F5268"/>
    <w:multiLevelType w:val="hybridMultilevel"/>
    <w:tmpl w:val="2A6CCA9E"/>
    <w:lvl w:ilvl="0" w:tplc="A90E0316">
      <w:start w:val="1"/>
      <w:numFmt w:val="bullet"/>
      <w:lvlText w:val="●"/>
      <w:lvlJc w:val="left"/>
      <w:pPr>
        <w:ind w:left="720" w:hanging="360"/>
      </w:pPr>
    </w:lvl>
    <w:lvl w:ilvl="1" w:tplc="B44C57C8">
      <w:start w:val="1"/>
      <w:numFmt w:val="bullet"/>
      <w:lvlText w:val="○"/>
      <w:lvlJc w:val="left"/>
      <w:pPr>
        <w:ind w:left="1440" w:hanging="360"/>
      </w:pPr>
    </w:lvl>
    <w:lvl w:ilvl="2" w:tplc="2D2C80F0">
      <w:start w:val="1"/>
      <w:numFmt w:val="bullet"/>
      <w:lvlText w:val="■"/>
      <w:lvlJc w:val="left"/>
      <w:pPr>
        <w:ind w:left="2160" w:hanging="360"/>
      </w:pPr>
    </w:lvl>
    <w:lvl w:ilvl="3" w:tplc="D7927476">
      <w:start w:val="1"/>
      <w:numFmt w:val="bullet"/>
      <w:lvlText w:val="●"/>
      <w:lvlJc w:val="left"/>
      <w:pPr>
        <w:ind w:left="2880" w:hanging="360"/>
      </w:pPr>
    </w:lvl>
    <w:lvl w:ilvl="4" w:tplc="58504FEE">
      <w:start w:val="1"/>
      <w:numFmt w:val="bullet"/>
      <w:lvlText w:val="○"/>
      <w:lvlJc w:val="left"/>
      <w:pPr>
        <w:ind w:left="3600" w:hanging="360"/>
      </w:pPr>
    </w:lvl>
    <w:lvl w:ilvl="5" w:tplc="E634F628">
      <w:start w:val="1"/>
      <w:numFmt w:val="bullet"/>
      <w:lvlText w:val="■"/>
      <w:lvlJc w:val="left"/>
      <w:pPr>
        <w:ind w:left="4320" w:hanging="360"/>
      </w:pPr>
    </w:lvl>
    <w:lvl w:ilvl="6" w:tplc="DC8EBAC0">
      <w:start w:val="1"/>
      <w:numFmt w:val="bullet"/>
      <w:lvlText w:val="●"/>
      <w:lvlJc w:val="left"/>
      <w:pPr>
        <w:ind w:left="5040" w:hanging="360"/>
      </w:pPr>
    </w:lvl>
    <w:lvl w:ilvl="7" w:tplc="FAECEAB6">
      <w:start w:val="1"/>
      <w:numFmt w:val="bullet"/>
      <w:lvlText w:val="●"/>
      <w:lvlJc w:val="left"/>
      <w:pPr>
        <w:ind w:left="5760" w:hanging="360"/>
      </w:pPr>
    </w:lvl>
    <w:lvl w:ilvl="8" w:tplc="CB2AC8D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4D62965"/>
    <w:multiLevelType w:val="hybridMultilevel"/>
    <w:tmpl w:val="A5ECCD90"/>
    <w:lvl w:ilvl="0" w:tplc="B002C97A">
      <w:start w:val="1"/>
      <w:numFmt w:val="bullet"/>
      <w:lvlText w:val="•"/>
      <w:lvlJc w:val="left"/>
      <w:pPr>
        <w:ind w:left="720" w:hanging="360"/>
      </w:pPr>
    </w:lvl>
    <w:lvl w:ilvl="1" w:tplc="DFC2C04E">
      <w:numFmt w:val="decimal"/>
      <w:lvlText w:val=""/>
      <w:lvlJc w:val="left"/>
    </w:lvl>
    <w:lvl w:ilvl="2" w:tplc="F8C66692">
      <w:numFmt w:val="decimal"/>
      <w:lvlText w:val=""/>
      <w:lvlJc w:val="left"/>
    </w:lvl>
    <w:lvl w:ilvl="3" w:tplc="7DDCF614">
      <w:numFmt w:val="decimal"/>
      <w:lvlText w:val=""/>
      <w:lvlJc w:val="left"/>
    </w:lvl>
    <w:lvl w:ilvl="4" w:tplc="E594F12E">
      <w:numFmt w:val="decimal"/>
      <w:lvlText w:val=""/>
      <w:lvlJc w:val="left"/>
    </w:lvl>
    <w:lvl w:ilvl="5" w:tplc="25743D1C">
      <w:numFmt w:val="decimal"/>
      <w:lvlText w:val=""/>
      <w:lvlJc w:val="left"/>
    </w:lvl>
    <w:lvl w:ilvl="6" w:tplc="CA026784">
      <w:numFmt w:val="decimal"/>
      <w:lvlText w:val=""/>
      <w:lvlJc w:val="left"/>
    </w:lvl>
    <w:lvl w:ilvl="7" w:tplc="D2246F34">
      <w:numFmt w:val="decimal"/>
      <w:lvlText w:val=""/>
      <w:lvlJc w:val="left"/>
    </w:lvl>
    <w:lvl w:ilvl="8" w:tplc="8F0E854E">
      <w:numFmt w:val="decimal"/>
      <w:lvlText w:val=""/>
      <w:lvlJc w:val="left"/>
    </w:lvl>
  </w:abstractNum>
  <w:abstractNum w:abstractNumId="5" w15:restartNumberingAfterBreak="0">
    <w:nsid w:val="67ED3A3C"/>
    <w:multiLevelType w:val="hybridMultilevel"/>
    <w:tmpl w:val="95CAE2F4"/>
    <w:lvl w:ilvl="0" w:tplc="4750174E">
      <w:start w:val="1"/>
      <w:numFmt w:val="decimal"/>
      <w:lvlText w:val="%1."/>
      <w:lvlJc w:val="left"/>
      <w:pPr>
        <w:ind w:left="720" w:hanging="360"/>
      </w:pPr>
    </w:lvl>
    <w:lvl w:ilvl="1" w:tplc="6DF4C7F4">
      <w:numFmt w:val="decimal"/>
      <w:lvlText w:val=""/>
      <w:lvlJc w:val="left"/>
    </w:lvl>
    <w:lvl w:ilvl="2" w:tplc="6BAAF1B2">
      <w:numFmt w:val="decimal"/>
      <w:lvlText w:val=""/>
      <w:lvlJc w:val="left"/>
    </w:lvl>
    <w:lvl w:ilvl="3" w:tplc="E74E5FE4">
      <w:numFmt w:val="decimal"/>
      <w:lvlText w:val=""/>
      <w:lvlJc w:val="left"/>
    </w:lvl>
    <w:lvl w:ilvl="4" w:tplc="36BE9620">
      <w:numFmt w:val="decimal"/>
      <w:lvlText w:val=""/>
      <w:lvlJc w:val="left"/>
    </w:lvl>
    <w:lvl w:ilvl="5" w:tplc="C652DD16">
      <w:numFmt w:val="decimal"/>
      <w:lvlText w:val=""/>
      <w:lvlJc w:val="left"/>
    </w:lvl>
    <w:lvl w:ilvl="6" w:tplc="2C5ABECC">
      <w:numFmt w:val="decimal"/>
      <w:lvlText w:val=""/>
      <w:lvlJc w:val="left"/>
    </w:lvl>
    <w:lvl w:ilvl="7" w:tplc="34D08FCC">
      <w:numFmt w:val="decimal"/>
      <w:lvlText w:val=""/>
      <w:lvlJc w:val="left"/>
    </w:lvl>
    <w:lvl w:ilvl="8" w:tplc="E738CABC">
      <w:numFmt w:val="decimal"/>
      <w:lvlText w:val=""/>
      <w:lvlJc w:val="left"/>
    </w:lvl>
  </w:abstractNum>
  <w:num w:numId="1" w16cid:durableId="1789009185">
    <w:abstractNumId w:val="3"/>
    <w:lvlOverride w:ilvl="0">
      <w:startOverride w:val="1"/>
    </w:lvlOverride>
  </w:num>
  <w:num w:numId="2" w16cid:durableId="973027274">
    <w:abstractNumId w:val="0"/>
    <w:lvlOverride w:ilvl="0">
      <w:startOverride w:val="1"/>
    </w:lvlOverride>
  </w:num>
  <w:num w:numId="3" w16cid:durableId="12540326">
    <w:abstractNumId w:val="5"/>
    <w:lvlOverride w:ilvl="0">
      <w:startOverride w:val="1"/>
    </w:lvlOverride>
  </w:num>
  <w:num w:numId="4" w16cid:durableId="1834643486">
    <w:abstractNumId w:val="2"/>
    <w:lvlOverride w:ilvl="0">
      <w:startOverride w:val="1"/>
    </w:lvlOverride>
  </w:num>
  <w:num w:numId="5" w16cid:durableId="4619653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4"/>
    <w:rsid w:val="0017158B"/>
    <w:rsid w:val="00283950"/>
    <w:rsid w:val="0069345E"/>
    <w:rsid w:val="009F0CE9"/>
    <w:rsid w:val="00A10435"/>
    <w:rsid w:val="00A957D8"/>
    <w:rsid w:val="00AD0D32"/>
    <w:rsid w:val="00BA045C"/>
    <w:rsid w:val="00D62207"/>
    <w:rsid w:val="00D810F4"/>
    <w:rsid w:val="00D85076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75AF"/>
  <w15:docId w15:val="{850B3775-C969-4E21-BB84-68BF0446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="微軟正黑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240"/>
      <w:outlineLvl w:val="0"/>
    </w:pPr>
    <w:rPr>
      <w:b/>
      <w:bCs/>
      <w:color w:val="2E5E8C"/>
      <w:sz w:val="36"/>
      <w:szCs w:val="36"/>
    </w:rPr>
  </w:style>
  <w:style w:type="paragraph" w:styleId="2">
    <w:name w:val="heading 2"/>
    <w:uiPriority w:val="9"/>
    <w:semiHidden/>
    <w:unhideWhenUsed/>
    <w:qFormat/>
    <w:pPr>
      <w:spacing w:before="240" w:after="180"/>
      <w:outlineLvl w:val="1"/>
    </w:pPr>
    <w:rPr>
      <w:b/>
      <w:bCs/>
      <w:color w:val="333333"/>
      <w:sz w:val="30"/>
      <w:szCs w:val="30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71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7158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71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7158B"/>
    <w:rPr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A9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globalgoals.tw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2058</Words>
  <Characters>2142</Characters>
  <Application>Microsoft Office Word</Application>
  <DocSecurity>0</DocSecurity>
  <Lines>306</Lines>
  <Paragraphs>279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彥妤 賴</cp:lastModifiedBy>
  <cp:revision>8</cp:revision>
  <cp:lastPrinted>2026-03-27T07:54:00Z</cp:lastPrinted>
  <dcterms:created xsi:type="dcterms:W3CDTF">2026-03-27T05:55:00Z</dcterms:created>
  <dcterms:modified xsi:type="dcterms:W3CDTF">2026-03-27T08:06:00Z</dcterms:modified>
</cp:coreProperties>
</file>